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BF5E04" w:rsidRDefault="009C5A94" w:rsidP="00561476">
      <w:pPr>
        <w:jc w:val="center"/>
        <w:rPr>
          <w:b/>
          <w:sz w:val="36"/>
          <w:szCs w:val="36"/>
        </w:rPr>
      </w:pPr>
      <w:r w:rsidRPr="00BF5E0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F5E04" w:rsidRDefault="00561476" w:rsidP="00561476">
      <w:pPr>
        <w:jc w:val="center"/>
        <w:rPr>
          <w:b/>
          <w:sz w:val="36"/>
          <w:szCs w:val="36"/>
          <w:lang w:val="en-US"/>
        </w:rPr>
      </w:pPr>
    </w:p>
    <w:p w14:paraId="4AA3D8A5" w14:textId="77777777" w:rsidR="000A4DD6" w:rsidRPr="00BF5E04" w:rsidRDefault="000A4DD6" w:rsidP="00561476">
      <w:pPr>
        <w:jc w:val="center"/>
        <w:rPr>
          <w:b/>
          <w:sz w:val="36"/>
          <w:szCs w:val="36"/>
          <w:lang w:val="en-US"/>
        </w:rPr>
      </w:pPr>
    </w:p>
    <w:p w14:paraId="0ABB1680" w14:textId="77777777" w:rsidR="000A4DD6" w:rsidRPr="00BF5E04" w:rsidRDefault="000A4DD6" w:rsidP="00561476">
      <w:pPr>
        <w:jc w:val="center"/>
        <w:rPr>
          <w:b/>
          <w:sz w:val="36"/>
          <w:szCs w:val="36"/>
          <w:lang w:val="en-US"/>
        </w:rPr>
      </w:pPr>
    </w:p>
    <w:p w14:paraId="465AD6D6" w14:textId="77777777" w:rsidR="000A4DD6" w:rsidRPr="00BF5E04" w:rsidRDefault="000A4DD6" w:rsidP="00561476">
      <w:pPr>
        <w:jc w:val="center"/>
        <w:rPr>
          <w:b/>
          <w:sz w:val="36"/>
          <w:szCs w:val="36"/>
          <w:lang w:val="en-US"/>
        </w:rPr>
      </w:pPr>
    </w:p>
    <w:p w14:paraId="25F09B46" w14:textId="77777777" w:rsidR="00561476" w:rsidRPr="00BF5E04" w:rsidRDefault="00561476" w:rsidP="00561476">
      <w:pPr>
        <w:tabs>
          <w:tab w:val="left" w:pos="5204"/>
        </w:tabs>
        <w:jc w:val="left"/>
        <w:rPr>
          <w:b/>
          <w:sz w:val="36"/>
          <w:szCs w:val="36"/>
        </w:rPr>
      </w:pPr>
      <w:r w:rsidRPr="00BF5E04">
        <w:rPr>
          <w:b/>
          <w:sz w:val="36"/>
          <w:szCs w:val="36"/>
        </w:rPr>
        <w:tab/>
      </w:r>
    </w:p>
    <w:p w14:paraId="1A818381" w14:textId="77777777" w:rsidR="00561476" w:rsidRPr="00BF5E04" w:rsidRDefault="00561476" w:rsidP="00561476">
      <w:pPr>
        <w:jc w:val="center"/>
        <w:rPr>
          <w:b/>
          <w:sz w:val="36"/>
          <w:szCs w:val="36"/>
        </w:rPr>
      </w:pPr>
    </w:p>
    <w:p w14:paraId="759EB2BE" w14:textId="77777777" w:rsidR="00561476" w:rsidRPr="00BF5E04" w:rsidRDefault="00CB76D2" w:rsidP="00561476">
      <w:pPr>
        <w:jc w:val="center"/>
        <w:rPr>
          <w:b/>
          <w:sz w:val="48"/>
          <w:szCs w:val="48"/>
        </w:rPr>
      </w:pPr>
      <w:bookmarkStart w:id="0" w:name="_Toc226196784"/>
      <w:bookmarkStart w:id="1" w:name="_Toc226197203"/>
      <w:r w:rsidRPr="00BF5E04">
        <w:rPr>
          <w:b/>
          <w:sz w:val="48"/>
          <w:szCs w:val="48"/>
        </w:rPr>
        <w:t>М</w:t>
      </w:r>
      <w:r w:rsidR="00561476" w:rsidRPr="00BF5E04">
        <w:rPr>
          <w:b/>
          <w:sz w:val="48"/>
          <w:szCs w:val="48"/>
        </w:rPr>
        <w:t>ониторинг СМИ</w:t>
      </w:r>
      <w:bookmarkEnd w:id="0"/>
      <w:bookmarkEnd w:id="1"/>
      <w:r w:rsidR="00561476" w:rsidRPr="00BF5E04">
        <w:rPr>
          <w:b/>
          <w:sz w:val="48"/>
          <w:szCs w:val="48"/>
        </w:rPr>
        <w:t xml:space="preserve"> РФ</w:t>
      </w:r>
    </w:p>
    <w:p w14:paraId="643C1CC8" w14:textId="77777777" w:rsidR="00561476" w:rsidRPr="00BF5E04" w:rsidRDefault="00561476" w:rsidP="00561476">
      <w:pPr>
        <w:jc w:val="center"/>
        <w:rPr>
          <w:b/>
          <w:sz w:val="48"/>
          <w:szCs w:val="48"/>
        </w:rPr>
      </w:pPr>
      <w:bookmarkStart w:id="2" w:name="_Toc226196785"/>
      <w:bookmarkStart w:id="3" w:name="_Toc226197204"/>
      <w:r w:rsidRPr="00BF5E04">
        <w:rPr>
          <w:b/>
          <w:sz w:val="48"/>
          <w:szCs w:val="48"/>
        </w:rPr>
        <w:t>по пенсионной тематике</w:t>
      </w:r>
      <w:bookmarkEnd w:id="2"/>
      <w:bookmarkEnd w:id="3"/>
    </w:p>
    <w:p w14:paraId="712904F0" w14:textId="77777777" w:rsidR="008B6D1B" w:rsidRPr="00BF5E04" w:rsidRDefault="008B6D1B" w:rsidP="00C70A20">
      <w:pPr>
        <w:jc w:val="center"/>
        <w:rPr>
          <w:b/>
          <w:sz w:val="48"/>
          <w:szCs w:val="48"/>
        </w:rPr>
      </w:pPr>
    </w:p>
    <w:p w14:paraId="4DAF54B0" w14:textId="77777777" w:rsidR="007D6FE5" w:rsidRPr="00BF5E04" w:rsidRDefault="007D6FE5" w:rsidP="00C70A20">
      <w:pPr>
        <w:jc w:val="center"/>
        <w:rPr>
          <w:b/>
          <w:sz w:val="36"/>
          <w:szCs w:val="36"/>
        </w:rPr>
      </w:pPr>
      <w:r w:rsidRPr="00BF5E04">
        <w:rPr>
          <w:b/>
          <w:sz w:val="36"/>
          <w:szCs w:val="36"/>
        </w:rPr>
        <w:t xml:space="preserve"> </w:t>
      </w:r>
    </w:p>
    <w:p w14:paraId="5A50B42F" w14:textId="5344B465" w:rsidR="00C70A20" w:rsidRPr="00BF5E04" w:rsidRDefault="00016578" w:rsidP="00C70A20">
      <w:pPr>
        <w:jc w:val="center"/>
        <w:rPr>
          <w:b/>
          <w:sz w:val="40"/>
          <w:szCs w:val="40"/>
        </w:rPr>
      </w:pPr>
      <w:r w:rsidRPr="00BF5E04">
        <w:rPr>
          <w:b/>
          <w:sz w:val="40"/>
          <w:szCs w:val="40"/>
        </w:rPr>
        <w:t>1</w:t>
      </w:r>
      <w:r w:rsidR="00030572" w:rsidRPr="00BF5E04">
        <w:rPr>
          <w:b/>
          <w:sz w:val="40"/>
          <w:szCs w:val="40"/>
        </w:rPr>
        <w:t>9</w:t>
      </w:r>
      <w:r w:rsidR="000214CF" w:rsidRPr="00BF5E04">
        <w:rPr>
          <w:b/>
          <w:sz w:val="40"/>
          <w:szCs w:val="40"/>
        </w:rPr>
        <w:t>.</w:t>
      </w:r>
      <w:r w:rsidR="00A646EC" w:rsidRPr="00BF5E04">
        <w:rPr>
          <w:b/>
          <w:sz w:val="40"/>
          <w:szCs w:val="40"/>
        </w:rPr>
        <w:t>0</w:t>
      </w:r>
      <w:r w:rsidR="00E655CC" w:rsidRPr="00BF5E04">
        <w:rPr>
          <w:b/>
          <w:sz w:val="40"/>
          <w:szCs w:val="40"/>
        </w:rPr>
        <w:t>2</w:t>
      </w:r>
      <w:r w:rsidR="00A646EC" w:rsidRPr="00BF5E04">
        <w:rPr>
          <w:b/>
          <w:sz w:val="40"/>
          <w:szCs w:val="40"/>
        </w:rPr>
        <w:t>.</w:t>
      </w:r>
      <w:r w:rsidR="007D6FE5" w:rsidRPr="00BF5E04">
        <w:rPr>
          <w:b/>
          <w:sz w:val="40"/>
          <w:szCs w:val="40"/>
        </w:rPr>
        <w:t>20</w:t>
      </w:r>
      <w:r w:rsidR="00EB57E7" w:rsidRPr="00BF5E04">
        <w:rPr>
          <w:b/>
          <w:sz w:val="40"/>
          <w:szCs w:val="40"/>
        </w:rPr>
        <w:t>2</w:t>
      </w:r>
      <w:r w:rsidR="00A646EC" w:rsidRPr="00BF5E04">
        <w:rPr>
          <w:b/>
          <w:sz w:val="40"/>
          <w:szCs w:val="40"/>
        </w:rPr>
        <w:t>6</w:t>
      </w:r>
      <w:r w:rsidR="00C70A20" w:rsidRPr="00BF5E04">
        <w:rPr>
          <w:b/>
          <w:sz w:val="40"/>
          <w:szCs w:val="40"/>
        </w:rPr>
        <w:t xml:space="preserve"> г</w:t>
      </w:r>
      <w:r w:rsidR="007D6FE5" w:rsidRPr="00BF5E04">
        <w:rPr>
          <w:b/>
          <w:sz w:val="40"/>
          <w:szCs w:val="40"/>
        </w:rPr>
        <w:t>.</w:t>
      </w:r>
    </w:p>
    <w:p w14:paraId="651D5D84" w14:textId="77777777" w:rsidR="007D6FE5" w:rsidRPr="00BF5E04" w:rsidRDefault="007D6FE5" w:rsidP="000C1A46">
      <w:pPr>
        <w:jc w:val="center"/>
        <w:rPr>
          <w:b/>
          <w:sz w:val="40"/>
          <w:szCs w:val="40"/>
        </w:rPr>
      </w:pPr>
    </w:p>
    <w:p w14:paraId="3299871E" w14:textId="77777777" w:rsidR="00C16C6D" w:rsidRPr="00BF5E04" w:rsidRDefault="00C16C6D" w:rsidP="000C1A46">
      <w:pPr>
        <w:jc w:val="center"/>
        <w:rPr>
          <w:b/>
          <w:sz w:val="40"/>
          <w:szCs w:val="40"/>
        </w:rPr>
      </w:pPr>
    </w:p>
    <w:p w14:paraId="46E14E88" w14:textId="77777777" w:rsidR="00C70A20" w:rsidRPr="00BF5E04" w:rsidRDefault="00C70A20" w:rsidP="000C1A46">
      <w:pPr>
        <w:jc w:val="center"/>
        <w:rPr>
          <w:b/>
          <w:sz w:val="40"/>
          <w:szCs w:val="40"/>
        </w:rPr>
      </w:pPr>
    </w:p>
    <w:p w14:paraId="4C8E9FEE" w14:textId="77777777" w:rsidR="00C70A20" w:rsidRPr="00BF5E04" w:rsidRDefault="00C70A20" w:rsidP="000C1A46">
      <w:pPr>
        <w:jc w:val="center"/>
      </w:pPr>
    </w:p>
    <w:p w14:paraId="169A5637" w14:textId="77777777" w:rsidR="00CB76D2" w:rsidRPr="00BF5E04" w:rsidRDefault="00CB76D2" w:rsidP="000C1A46">
      <w:pPr>
        <w:jc w:val="center"/>
        <w:rPr>
          <w:b/>
          <w:sz w:val="40"/>
          <w:szCs w:val="40"/>
        </w:rPr>
      </w:pPr>
    </w:p>
    <w:p w14:paraId="39EA2CE9" w14:textId="77777777" w:rsidR="009D66A1" w:rsidRPr="00BF5E04" w:rsidRDefault="009B23FE" w:rsidP="009B23FE">
      <w:pPr>
        <w:pStyle w:val="10"/>
        <w:jc w:val="center"/>
      </w:pPr>
      <w:r w:rsidRPr="00BF5E04">
        <w:br w:type="page"/>
      </w:r>
      <w:bookmarkStart w:id="4" w:name="_Toc396864626"/>
      <w:bookmarkStart w:id="5" w:name="_Toc222380305"/>
      <w:r w:rsidR="009D79CC" w:rsidRPr="00BF5E04">
        <w:lastRenderedPageBreak/>
        <w:t>Те</w:t>
      </w:r>
      <w:r w:rsidR="009D66A1" w:rsidRPr="00BF5E04">
        <w:t>мы</w:t>
      </w:r>
      <w:r w:rsidR="009D66A1" w:rsidRPr="00BF5E04">
        <w:rPr>
          <w:rFonts w:ascii="Arial Rounded MT Bold" w:hAnsi="Arial Rounded MT Bold"/>
        </w:rPr>
        <w:t xml:space="preserve"> </w:t>
      </w:r>
      <w:r w:rsidR="009D66A1" w:rsidRPr="00BF5E04">
        <w:t>дня</w:t>
      </w:r>
      <w:bookmarkEnd w:id="4"/>
      <w:bookmarkEnd w:id="5"/>
    </w:p>
    <w:p w14:paraId="67C9B192" w14:textId="416BC38E" w:rsidR="00A1463C" w:rsidRPr="00BF5E04" w:rsidRDefault="007C0DE4" w:rsidP="00676D5F">
      <w:pPr>
        <w:numPr>
          <w:ilvl w:val="0"/>
          <w:numId w:val="25"/>
        </w:numPr>
        <w:rPr>
          <w:i/>
        </w:rPr>
      </w:pPr>
      <w:r w:rsidRPr="00BF5E04">
        <w:rPr>
          <w:i/>
        </w:rPr>
        <w:t xml:space="preserve">Сенаторы одобрили закон, освобождающий с 1 марта 2026 года ряд финансовых организаций от составления консолидированной финансовой отчетности (КФО). Документ дает право отдельным организациям финансового рынка, входящим в группы, не составлять консолидированную финансовую отчетность. Речь идет о страховых организациях (за исключением страховых медорганизаций, осуществляющих только обязательное медицинское страхование), управляющих компаниях инвестиционных, паевых инвестиционных и негосударственных пенсионных фондов, </w:t>
      </w:r>
      <w:hyperlink w:anchor="ф1" w:history="1">
        <w:r w:rsidRPr="00BF5E04">
          <w:rPr>
            <w:rStyle w:val="a3"/>
            <w:i/>
          </w:rPr>
          <w:t>сообщает РИА Новости</w:t>
        </w:r>
      </w:hyperlink>
    </w:p>
    <w:p w14:paraId="42D94A6F" w14:textId="1163829E" w:rsidR="007C0DE4" w:rsidRPr="00BF5E04" w:rsidRDefault="002C6B7C" w:rsidP="00676D5F">
      <w:pPr>
        <w:numPr>
          <w:ilvl w:val="0"/>
          <w:numId w:val="25"/>
        </w:numPr>
        <w:rPr>
          <w:i/>
        </w:rPr>
      </w:pPr>
      <w:r w:rsidRPr="00BF5E04">
        <w:rPr>
          <w:i/>
        </w:rPr>
        <w:t xml:space="preserve">Порядка 60% россиян считают, что родителям следует оказывать финансовую поддержку своим взрослым детям до 25 лет. Среди самых популярных потенциальных расходов - первый взнос по ипотеке, аренда жилья и обучение в вузе, говорится в результатах опроса, проведенного НПФ </w:t>
      </w:r>
      <w:r w:rsidR="00401C97">
        <w:rPr>
          <w:i/>
        </w:rPr>
        <w:t>«</w:t>
      </w:r>
      <w:r w:rsidRPr="00BF5E04">
        <w:rPr>
          <w:i/>
        </w:rPr>
        <w:t>Эволюция</w:t>
      </w:r>
      <w:r w:rsidR="00401C97">
        <w:rPr>
          <w:i/>
        </w:rPr>
        <w:t>»</w:t>
      </w:r>
      <w:r w:rsidRPr="00BF5E04">
        <w:rPr>
          <w:i/>
        </w:rPr>
        <w:t xml:space="preserve"> (</w:t>
      </w:r>
      <w:hyperlink w:anchor="ф2" w:history="1">
        <w:r w:rsidRPr="00BF5E04">
          <w:rPr>
            <w:rStyle w:val="a3"/>
            <w:i/>
          </w:rPr>
          <w:t>есть в распоряжении ТАСС</w:t>
        </w:r>
      </w:hyperlink>
      <w:r w:rsidRPr="00BF5E04">
        <w:rPr>
          <w:i/>
        </w:rPr>
        <w:t>)</w:t>
      </w:r>
    </w:p>
    <w:p w14:paraId="7A73B2F5" w14:textId="19A58147" w:rsidR="002C6B7C" w:rsidRPr="00BF5E04" w:rsidRDefault="007D6009" w:rsidP="00676D5F">
      <w:pPr>
        <w:numPr>
          <w:ilvl w:val="0"/>
          <w:numId w:val="25"/>
        </w:numPr>
        <w:rPr>
          <w:i/>
        </w:rPr>
      </w:pPr>
      <w:r w:rsidRPr="00BF5E04">
        <w:rPr>
          <w:i/>
        </w:rPr>
        <w:t xml:space="preserve">Ханты-Мансийский негосударственный пенсионный фонд (НПФ) отчитался о результатах финансовой деятельности за 2025 год. По данным фонда, выплаты в рамках обязательного пенсионного страхования (ОПС) составили 719,1 миллиона рублей. Средства направлены получателям в установленные сроки. В сегменте негосударственного пенсионного обеспечения (НПО) Ханты-Мансийский НПФ выплатил 2 465,1 миллиона рублей – это направление остается ключевым в структуре выплат, </w:t>
      </w:r>
      <w:hyperlink w:anchor="ф3" w:history="1">
        <w:r w:rsidRPr="00BF5E04">
          <w:rPr>
            <w:rStyle w:val="a3"/>
            <w:i/>
          </w:rPr>
          <w:t xml:space="preserve">передает </w:t>
        </w:r>
        <w:r w:rsidR="00401C97">
          <w:rPr>
            <w:rStyle w:val="a3"/>
            <w:i/>
          </w:rPr>
          <w:t>«</w:t>
        </w:r>
        <w:r w:rsidRPr="00BF5E04">
          <w:rPr>
            <w:rStyle w:val="a3"/>
            <w:i/>
          </w:rPr>
          <w:t>РБК</w:t>
        </w:r>
        <w:r w:rsidR="00401C97">
          <w:rPr>
            <w:rStyle w:val="a3"/>
            <w:i/>
          </w:rPr>
          <w:t>»</w:t>
        </w:r>
      </w:hyperlink>
    </w:p>
    <w:p w14:paraId="4737C364" w14:textId="6327BF40" w:rsidR="007D6009" w:rsidRPr="00BF5E04" w:rsidRDefault="007D6009" w:rsidP="00676D5F">
      <w:pPr>
        <w:numPr>
          <w:ilvl w:val="0"/>
          <w:numId w:val="25"/>
        </w:numPr>
        <w:rPr>
          <w:i/>
        </w:rPr>
      </w:pPr>
      <w:r w:rsidRPr="00BF5E04">
        <w:rPr>
          <w:i/>
        </w:rPr>
        <w:t xml:space="preserve">Минфин РФ планирует стимулировать негосударственные пенсионные фонды (НПФ) предлагать гражданам разные стратегии инвестирования в рамках программы долгосрочных сбережений (ПДС), сообщил заместитель директора департамента финансовой политики министерства Павел Шахлевич. Согласно данным Минфина, за два года действия программы привлечено более 717 млрд рублей, а число ее участников достигло 10,5 млн человек, </w:t>
      </w:r>
      <w:hyperlink w:anchor="ф4" w:history="1">
        <w:r w:rsidRPr="00BF5E04">
          <w:rPr>
            <w:rStyle w:val="a3"/>
            <w:i/>
          </w:rPr>
          <w:t xml:space="preserve">сообщает </w:t>
        </w:r>
        <w:r w:rsidR="00401C97">
          <w:rPr>
            <w:rStyle w:val="a3"/>
            <w:i/>
          </w:rPr>
          <w:t>«</w:t>
        </w:r>
        <w:r w:rsidRPr="00BF5E04">
          <w:rPr>
            <w:rStyle w:val="a3"/>
            <w:i/>
          </w:rPr>
          <w:t>Финмаркет</w:t>
        </w:r>
        <w:r w:rsidR="00401C97">
          <w:rPr>
            <w:rStyle w:val="a3"/>
            <w:i/>
          </w:rPr>
          <w:t>»</w:t>
        </w:r>
      </w:hyperlink>
    </w:p>
    <w:p w14:paraId="7FC08E0C" w14:textId="4F0E959A" w:rsidR="007D6009" w:rsidRPr="00BF5E04" w:rsidRDefault="00DE5AA4" w:rsidP="00676D5F">
      <w:pPr>
        <w:numPr>
          <w:ilvl w:val="0"/>
          <w:numId w:val="25"/>
        </w:numPr>
        <w:rPr>
          <w:i/>
        </w:rPr>
      </w:pPr>
      <w:r w:rsidRPr="00BF5E04">
        <w:rPr>
          <w:i/>
        </w:rPr>
        <w:t xml:space="preserve">Жители Центрального федерального округа (ЦФО) держат на счетах программы долгосрочных сбережений 175 млрд рублей, число участников программы по региону превысило 1,8 млн человек. </w:t>
      </w:r>
      <w:hyperlink w:anchor="ф5" w:history="1">
        <w:r w:rsidRPr="00BF5E04">
          <w:rPr>
            <w:rStyle w:val="a3"/>
            <w:i/>
          </w:rPr>
          <w:t>Об этом сообщили ТАСС</w:t>
        </w:r>
      </w:hyperlink>
      <w:r w:rsidRPr="00BF5E04">
        <w:rPr>
          <w:i/>
        </w:rPr>
        <w:t xml:space="preserve"> в пресс-службе ГУ Банка России по ЦФО. Больше половины средств внесли жители Москвы и Подмосковья, заключившие 1,2 млн договоров долгосрочных сбережений. К концу 2025 года на их счетах в программе скопилось 105 млрд рублей</w:t>
      </w:r>
    </w:p>
    <w:p w14:paraId="68ECE257" w14:textId="5908F976" w:rsidR="00DE5AA4" w:rsidRPr="00BF5E04" w:rsidRDefault="00E062A9" w:rsidP="00676D5F">
      <w:pPr>
        <w:numPr>
          <w:ilvl w:val="0"/>
          <w:numId w:val="25"/>
        </w:numPr>
        <w:rPr>
          <w:i/>
        </w:rPr>
      </w:pPr>
      <w:r w:rsidRPr="00BF5E04">
        <w:rPr>
          <w:i/>
        </w:rPr>
        <w:t xml:space="preserve">Снять деньги по программе долгосрочных сбережений без потери инвестдоходов можно будет через несколько лет, рассказала член комитета Госдумы по труду, социальной политике и делам ветеранов Светлана Бессараб. Она отметила, что по такому принципу работают некоммерческие пенсионные фонды. Депутат подчеркнула, что сейчас максимальная сумма господдержки по ПДС составляет 360 тыс. рублей. По ее словам, максимальный размер софинансирования в год - 36 тыс. рублей, </w:t>
      </w:r>
      <w:hyperlink w:anchor="ф6" w:history="1">
        <w:r w:rsidRPr="00BF5E04">
          <w:rPr>
            <w:rStyle w:val="a3"/>
            <w:i/>
          </w:rPr>
          <w:t>передает NEWS.ru</w:t>
        </w:r>
      </w:hyperlink>
    </w:p>
    <w:p w14:paraId="14ED6C1A" w14:textId="6A9AE869" w:rsidR="00E062A9" w:rsidRPr="00BF5E04" w:rsidRDefault="001B4A31" w:rsidP="00676D5F">
      <w:pPr>
        <w:numPr>
          <w:ilvl w:val="0"/>
          <w:numId w:val="25"/>
        </w:numPr>
        <w:rPr>
          <w:i/>
        </w:rPr>
      </w:pPr>
      <w:r w:rsidRPr="001B4A31">
        <w:rPr>
          <w:i/>
        </w:rPr>
        <w:lastRenderedPageBreak/>
        <w:t xml:space="preserve">В России с 2024 года действует программа долгосрочных сбережений, призванная помочь гражданам копить с господдержкой. Однако уже в 2026-м в её правила могут быть внесены коррективы. Всё дело в неожиданном поведении некоторых пенсионеров, которые из-за возникшего правового противоречия забирали деньги вскоре после получения софинансирования от государства. Какой объём средств был выведен в 2025 году и что именно хочет изменить Минфин — </w:t>
      </w:r>
      <w:hyperlink w:anchor="ф7" w:history="1">
        <w:r w:rsidRPr="001B4A31">
          <w:rPr>
            <w:rStyle w:val="a3"/>
            <w:i/>
          </w:rPr>
          <w:t>в материале RT</w:t>
        </w:r>
      </w:hyperlink>
    </w:p>
    <w:p w14:paraId="7C2F1CC3" w14:textId="1995DFB4" w:rsidR="00A26B30" w:rsidRPr="00BF5E04" w:rsidRDefault="00A26B30" w:rsidP="00676D5F">
      <w:pPr>
        <w:numPr>
          <w:ilvl w:val="0"/>
          <w:numId w:val="25"/>
        </w:numPr>
        <w:rPr>
          <w:i/>
        </w:rPr>
      </w:pPr>
      <w:r w:rsidRPr="00BF5E04">
        <w:rPr>
          <w:i/>
        </w:rPr>
        <w:t xml:space="preserve">Средний размер пенсии в России за год вырос на 2079 рублей - в январе 2026 года сумма составила 25 254 рубля. Это следует из данных Соцфонда, которые </w:t>
      </w:r>
      <w:hyperlink w:anchor="ф8" w:history="1">
        <w:r w:rsidRPr="00BF5E04">
          <w:rPr>
            <w:rStyle w:val="a3"/>
            <w:i/>
          </w:rPr>
          <w:t>изучил ТАСС</w:t>
        </w:r>
      </w:hyperlink>
      <w:r w:rsidRPr="00BF5E04">
        <w:rPr>
          <w:i/>
        </w:rPr>
        <w:t>. Уточняется, что средний размер пенсий среди работающих пенсионеров составил в январе 2026 года 23 279 рублей, а среди неработающих - 25 678 рублей</w:t>
      </w:r>
    </w:p>
    <w:p w14:paraId="161FE9FE" w14:textId="77777777" w:rsidR="00940029" w:rsidRPr="00BF5E04" w:rsidRDefault="009D79CC" w:rsidP="00940029">
      <w:pPr>
        <w:pStyle w:val="10"/>
        <w:jc w:val="center"/>
      </w:pPr>
      <w:bookmarkStart w:id="6" w:name="_Toc173015209"/>
      <w:bookmarkStart w:id="7" w:name="_Toc222380306"/>
      <w:r w:rsidRPr="00BF5E04">
        <w:t>Ци</w:t>
      </w:r>
      <w:r w:rsidR="00940029" w:rsidRPr="00BF5E04">
        <w:t>таты дня</w:t>
      </w:r>
      <w:bookmarkEnd w:id="6"/>
      <w:bookmarkEnd w:id="7"/>
    </w:p>
    <w:p w14:paraId="02554C59" w14:textId="227D40CF" w:rsidR="00176811" w:rsidRPr="00BF5E04" w:rsidRDefault="00176811" w:rsidP="003B3BAA">
      <w:pPr>
        <w:numPr>
          <w:ilvl w:val="0"/>
          <w:numId w:val="27"/>
        </w:numPr>
        <w:rPr>
          <w:i/>
        </w:rPr>
      </w:pPr>
      <w:r w:rsidRPr="00BF5E04">
        <w:rPr>
          <w:i/>
        </w:rPr>
        <w:t xml:space="preserve">Павел Шахлевич, заместитель директора департамента финансовой политики Минфина России: </w:t>
      </w:r>
      <w:r w:rsidR="00401C97">
        <w:rPr>
          <w:i/>
        </w:rPr>
        <w:t>«</w:t>
      </w:r>
      <w:r w:rsidRPr="00BF5E04">
        <w:rPr>
          <w:i/>
        </w:rPr>
        <w:t>Мы работаем с негосударственными пенсионным фондами в части программы долгосрочных сбережений, негосударственного пенсионного обеспечения по расширению стратегий, чтобы это была не одна стратегия, где покупаются только облигации и получается management fee и success fee, и ничего больше от сотрудников НПФ не требуется делать. Будем стимулировать их к расширению стратегий, в зависимости от возраста, наверно, в первую очередь. Чтобы люди более молодые могли принимать большие риски осознанно</w:t>
      </w:r>
      <w:r w:rsidR="00401C97">
        <w:rPr>
          <w:i/>
        </w:rPr>
        <w:t>»</w:t>
      </w:r>
    </w:p>
    <w:p w14:paraId="616085AB" w14:textId="79669AEA" w:rsidR="00676D5F" w:rsidRPr="00BF5E04" w:rsidRDefault="002C6B7C" w:rsidP="003B3BAA">
      <w:pPr>
        <w:numPr>
          <w:ilvl w:val="0"/>
          <w:numId w:val="27"/>
        </w:numPr>
        <w:rPr>
          <w:i/>
        </w:rPr>
      </w:pPr>
      <w:r w:rsidRPr="00BF5E04">
        <w:rPr>
          <w:i/>
        </w:rPr>
        <w:t xml:space="preserve">Елена Тетюнина, генеральный директор НПФ Эволюция: </w:t>
      </w:r>
      <w:r w:rsidR="00401C97">
        <w:rPr>
          <w:i/>
        </w:rPr>
        <w:t>«</w:t>
      </w:r>
      <w:r w:rsidRPr="00BF5E04">
        <w:rPr>
          <w:i/>
        </w:rPr>
        <w:t xml:space="preserve">Не стоит ждать пока вашему ребенку исполнится 18 лет, формировать накопления для него нужно с малого возраста. Ребенок быстро становится взрослым и думать о том, как ребенку помочь встать на ноги необходимо заранее. Начинать формировать накопления не обязательно с больших сумм, увеличивать вложения можно постепенно. При этом для таких целей лучше выбирать долгосрочные финансовые инструменты. Рекомендую обратить внимание на продукт от НПФ - программу долгосрочных сбережений в пользу ребенка. Регулярные пополнения </w:t>
      </w:r>
      <w:r w:rsidR="00401C97">
        <w:rPr>
          <w:i/>
        </w:rPr>
        <w:t>«</w:t>
      </w:r>
      <w:r w:rsidRPr="00BF5E04">
        <w:rPr>
          <w:i/>
        </w:rPr>
        <w:t>детского счета</w:t>
      </w:r>
      <w:r w:rsidR="00401C97">
        <w:rPr>
          <w:i/>
        </w:rPr>
        <w:t>»</w:t>
      </w:r>
      <w:r w:rsidRPr="00BF5E04">
        <w:rPr>
          <w:i/>
        </w:rPr>
        <w:t xml:space="preserve"> с учетом софинансирования взносов от государства, налоговых льгот и инвестиционного дохода от НПФ позволят накопить нужную сумму к важному событию в жизни вашего ребёнка</w:t>
      </w:r>
      <w:r w:rsidR="00401C97">
        <w:rPr>
          <w:i/>
        </w:rPr>
        <w:t>»</w:t>
      </w:r>
    </w:p>
    <w:p w14:paraId="5E36359E" w14:textId="77777777" w:rsidR="00A0290C" w:rsidRPr="00BF5E0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F5E04">
        <w:rPr>
          <w:u w:val="single"/>
        </w:rPr>
        <w:lastRenderedPageBreak/>
        <w:t>ОГЛАВЛЕНИЕ</w:t>
      </w:r>
    </w:p>
    <w:p w14:paraId="1D5B8A78" w14:textId="696B6CA2" w:rsidR="009E0B0E"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BF5E04">
        <w:rPr>
          <w:caps/>
        </w:rPr>
        <w:fldChar w:fldCharType="begin"/>
      </w:r>
      <w:r w:rsidR="00310633" w:rsidRPr="00BF5E04">
        <w:rPr>
          <w:caps/>
        </w:rPr>
        <w:instrText xml:space="preserve"> TOC \o "1-5" \h \z \u </w:instrText>
      </w:r>
      <w:r w:rsidRPr="00BF5E04">
        <w:rPr>
          <w:caps/>
        </w:rPr>
        <w:fldChar w:fldCharType="separate"/>
      </w:r>
      <w:hyperlink w:anchor="_Toc222380305" w:history="1">
        <w:r w:rsidR="009E0B0E" w:rsidRPr="00821DF6">
          <w:rPr>
            <w:rStyle w:val="a3"/>
            <w:noProof/>
          </w:rPr>
          <w:t>Темы</w:t>
        </w:r>
        <w:r w:rsidR="009E0B0E" w:rsidRPr="00821DF6">
          <w:rPr>
            <w:rStyle w:val="a3"/>
            <w:rFonts w:ascii="Arial Rounded MT Bold" w:hAnsi="Arial Rounded MT Bold"/>
            <w:noProof/>
          </w:rPr>
          <w:t xml:space="preserve"> </w:t>
        </w:r>
        <w:r w:rsidR="009E0B0E" w:rsidRPr="00821DF6">
          <w:rPr>
            <w:rStyle w:val="a3"/>
            <w:noProof/>
          </w:rPr>
          <w:t>дня</w:t>
        </w:r>
        <w:r w:rsidR="009E0B0E">
          <w:rPr>
            <w:noProof/>
            <w:webHidden/>
          </w:rPr>
          <w:tab/>
        </w:r>
        <w:r w:rsidR="009E0B0E">
          <w:rPr>
            <w:noProof/>
            <w:webHidden/>
          </w:rPr>
          <w:fldChar w:fldCharType="begin"/>
        </w:r>
        <w:r w:rsidR="009E0B0E">
          <w:rPr>
            <w:noProof/>
            <w:webHidden/>
          </w:rPr>
          <w:instrText xml:space="preserve"> PAGEREF _Toc222380305 \h </w:instrText>
        </w:r>
        <w:r w:rsidR="009E0B0E">
          <w:rPr>
            <w:noProof/>
            <w:webHidden/>
          </w:rPr>
        </w:r>
        <w:r w:rsidR="009E0B0E">
          <w:rPr>
            <w:noProof/>
            <w:webHidden/>
          </w:rPr>
          <w:fldChar w:fldCharType="separate"/>
        </w:r>
        <w:r w:rsidR="009E0B0E">
          <w:rPr>
            <w:noProof/>
            <w:webHidden/>
          </w:rPr>
          <w:t>2</w:t>
        </w:r>
        <w:r w:rsidR="009E0B0E">
          <w:rPr>
            <w:noProof/>
            <w:webHidden/>
          </w:rPr>
          <w:fldChar w:fldCharType="end"/>
        </w:r>
      </w:hyperlink>
    </w:p>
    <w:p w14:paraId="5BDBE1C7" w14:textId="262F392B" w:rsidR="009E0B0E" w:rsidRDefault="009E0B0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380306" w:history="1">
        <w:r w:rsidRPr="00821DF6">
          <w:rPr>
            <w:rStyle w:val="a3"/>
            <w:noProof/>
          </w:rPr>
          <w:t>Цитаты дня</w:t>
        </w:r>
        <w:r>
          <w:rPr>
            <w:noProof/>
            <w:webHidden/>
          </w:rPr>
          <w:tab/>
        </w:r>
        <w:r>
          <w:rPr>
            <w:noProof/>
            <w:webHidden/>
          </w:rPr>
          <w:fldChar w:fldCharType="begin"/>
        </w:r>
        <w:r>
          <w:rPr>
            <w:noProof/>
            <w:webHidden/>
          </w:rPr>
          <w:instrText xml:space="preserve"> PAGEREF _Toc222380306 \h </w:instrText>
        </w:r>
        <w:r>
          <w:rPr>
            <w:noProof/>
            <w:webHidden/>
          </w:rPr>
        </w:r>
        <w:r>
          <w:rPr>
            <w:noProof/>
            <w:webHidden/>
          </w:rPr>
          <w:fldChar w:fldCharType="separate"/>
        </w:r>
        <w:r>
          <w:rPr>
            <w:noProof/>
            <w:webHidden/>
          </w:rPr>
          <w:t>3</w:t>
        </w:r>
        <w:r>
          <w:rPr>
            <w:noProof/>
            <w:webHidden/>
          </w:rPr>
          <w:fldChar w:fldCharType="end"/>
        </w:r>
      </w:hyperlink>
    </w:p>
    <w:p w14:paraId="1D717460" w14:textId="2A27062D" w:rsidR="009E0B0E" w:rsidRDefault="009E0B0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380307" w:history="1">
        <w:r w:rsidRPr="00821DF6">
          <w:rPr>
            <w:rStyle w:val="a3"/>
            <w:noProof/>
          </w:rPr>
          <w:t>НОВОСТИ ПЕНСИОННОЙ ОТРАСЛИ</w:t>
        </w:r>
        <w:r>
          <w:rPr>
            <w:noProof/>
            <w:webHidden/>
          </w:rPr>
          <w:tab/>
        </w:r>
        <w:r>
          <w:rPr>
            <w:noProof/>
            <w:webHidden/>
          </w:rPr>
          <w:fldChar w:fldCharType="begin"/>
        </w:r>
        <w:r>
          <w:rPr>
            <w:noProof/>
            <w:webHidden/>
          </w:rPr>
          <w:instrText xml:space="preserve"> PAGEREF _Toc222380307 \h </w:instrText>
        </w:r>
        <w:r>
          <w:rPr>
            <w:noProof/>
            <w:webHidden/>
          </w:rPr>
        </w:r>
        <w:r>
          <w:rPr>
            <w:noProof/>
            <w:webHidden/>
          </w:rPr>
          <w:fldChar w:fldCharType="separate"/>
        </w:r>
        <w:r>
          <w:rPr>
            <w:noProof/>
            <w:webHidden/>
          </w:rPr>
          <w:t>14</w:t>
        </w:r>
        <w:r>
          <w:rPr>
            <w:noProof/>
            <w:webHidden/>
          </w:rPr>
          <w:fldChar w:fldCharType="end"/>
        </w:r>
      </w:hyperlink>
    </w:p>
    <w:p w14:paraId="248A3BA0" w14:textId="378422C5" w:rsidR="009E0B0E" w:rsidRDefault="009E0B0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380308" w:history="1">
        <w:r w:rsidRPr="00821DF6">
          <w:rPr>
            <w:rStyle w:val="a3"/>
            <w:noProof/>
          </w:rPr>
          <w:t>Новости отрасли НПФ</w:t>
        </w:r>
        <w:r>
          <w:rPr>
            <w:noProof/>
            <w:webHidden/>
          </w:rPr>
          <w:tab/>
        </w:r>
        <w:r>
          <w:rPr>
            <w:noProof/>
            <w:webHidden/>
          </w:rPr>
          <w:fldChar w:fldCharType="begin"/>
        </w:r>
        <w:r>
          <w:rPr>
            <w:noProof/>
            <w:webHidden/>
          </w:rPr>
          <w:instrText xml:space="preserve"> PAGEREF _Toc222380308 \h </w:instrText>
        </w:r>
        <w:r>
          <w:rPr>
            <w:noProof/>
            <w:webHidden/>
          </w:rPr>
        </w:r>
        <w:r>
          <w:rPr>
            <w:noProof/>
            <w:webHidden/>
          </w:rPr>
          <w:fldChar w:fldCharType="separate"/>
        </w:r>
        <w:r>
          <w:rPr>
            <w:noProof/>
            <w:webHidden/>
          </w:rPr>
          <w:t>14</w:t>
        </w:r>
        <w:r>
          <w:rPr>
            <w:noProof/>
            <w:webHidden/>
          </w:rPr>
          <w:fldChar w:fldCharType="end"/>
        </w:r>
      </w:hyperlink>
    </w:p>
    <w:p w14:paraId="661E3E2B" w14:textId="46D24CAD"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09" w:history="1">
        <w:r w:rsidRPr="00821DF6">
          <w:rPr>
            <w:rStyle w:val="a3"/>
            <w:noProof/>
          </w:rPr>
          <w:t>РИА Новости, 18.02.2026, СФ освободил ряд финорганизаций от составления консолидированной отчетности</w:t>
        </w:r>
        <w:r>
          <w:rPr>
            <w:noProof/>
            <w:webHidden/>
          </w:rPr>
          <w:tab/>
        </w:r>
        <w:r>
          <w:rPr>
            <w:noProof/>
            <w:webHidden/>
          </w:rPr>
          <w:fldChar w:fldCharType="begin"/>
        </w:r>
        <w:r>
          <w:rPr>
            <w:noProof/>
            <w:webHidden/>
          </w:rPr>
          <w:instrText xml:space="preserve"> PAGEREF _Toc222380309 \h </w:instrText>
        </w:r>
        <w:r>
          <w:rPr>
            <w:noProof/>
            <w:webHidden/>
          </w:rPr>
        </w:r>
        <w:r>
          <w:rPr>
            <w:noProof/>
            <w:webHidden/>
          </w:rPr>
          <w:fldChar w:fldCharType="separate"/>
        </w:r>
        <w:r>
          <w:rPr>
            <w:noProof/>
            <w:webHidden/>
          </w:rPr>
          <w:t>14</w:t>
        </w:r>
        <w:r>
          <w:rPr>
            <w:noProof/>
            <w:webHidden/>
          </w:rPr>
          <w:fldChar w:fldCharType="end"/>
        </w:r>
      </w:hyperlink>
    </w:p>
    <w:p w14:paraId="3143D7AE" w14:textId="4A2E535E" w:rsidR="009E0B0E" w:rsidRDefault="009E0B0E">
      <w:pPr>
        <w:pStyle w:val="31"/>
        <w:rPr>
          <w:rFonts w:asciiTheme="minorHAnsi" w:eastAsiaTheme="minorEastAsia" w:hAnsiTheme="minorHAnsi" w:cstheme="minorBidi"/>
          <w:kern w:val="2"/>
          <w14:ligatures w14:val="standardContextual"/>
        </w:rPr>
      </w:pPr>
      <w:hyperlink w:anchor="_Toc222380310" w:history="1">
        <w:r w:rsidRPr="00821DF6">
          <w:rPr>
            <w:rStyle w:val="a3"/>
          </w:rPr>
          <w:t>Сенаторы одобрили закон, освобождающий с 1 марта 2026 года ряд финансовых организаций от составления консолидированной финансовой отчетности (КФО).</w:t>
        </w:r>
        <w:r>
          <w:rPr>
            <w:webHidden/>
          </w:rPr>
          <w:tab/>
        </w:r>
        <w:r>
          <w:rPr>
            <w:webHidden/>
          </w:rPr>
          <w:fldChar w:fldCharType="begin"/>
        </w:r>
        <w:r>
          <w:rPr>
            <w:webHidden/>
          </w:rPr>
          <w:instrText xml:space="preserve"> PAGEREF _Toc222380310 \h </w:instrText>
        </w:r>
        <w:r>
          <w:rPr>
            <w:webHidden/>
          </w:rPr>
        </w:r>
        <w:r>
          <w:rPr>
            <w:webHidden/>
          </w:rPr>
          <w:fldChar w:fldCharType="separate"/>
        </w:r>
        <w:r>
          <w:rPr>
            <w:webHidden/>
          </w:rPr>
          <w:t>14</w:t>
        </w:r>
        <w:r>
          <w:rPr>
            <w:webHidden/>
          </w:rPr>
          <w:fldChar w:fldCharType="end"/>
        </w:r>
      </w:hyperlink>
    </w:p>
    <w:p w14:paraId="12B602CF" w14:textId="5499DCDF"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11" w:history="1">
        <w:r w:rsidRPr="00821DF6">
          <w:rPr>
            <w:rStyle w:val="a3"/>
            <w:noProof/>
          </w:rPr>
          <w:t>ТАСС, 18.02.2026, СФ освободил некоторые организации от консолидированной финотчетности</w:t>
        </w:r>
        <w:r>
          <w:rPr>
            <w:noProof/>
            <w:webHidden/>
          </w:rPr>
          <w:tab/>
        </w:r>
        <w:r>
          <w:rPr>
            <w:noProof/>
            <w:webHidden/>
          </w:rPr>
          <w:fldChar w:fldCharType="begin"/>
        </w:r>
        <w:r>
          <w:rPr>
            <w:noProof/>
            <w:webHidden/>
          </w:rPr>
          <w:instrText xml:space="preserve"> PAGEREF _Toc222380311 \h </w:instrText>
        </w:r>
        <w:r>
          <w:rPr>
            <w:noProof/>
            <w:webHidden/>
          </w:rPr>
        </w:r>
        <w:r>
          <w:rPr>
            <w:noProof/>
            <w:webHidden/>
          </w:rPr>
          <w:fldChar w:fldCharType="separate"/>
        </w:r>
        <w:r>
          <w:rPr>
            <w:noProof/>
            <w:webHidden/>
          </w:rPr>
          <w:t>14</w:t>
        </w:r>
        <w:r>
          <w:rPr>
            <w:noProof/>
            <w:webHidden/>
          </w:rPr>
          <w:fldChar w:fldCharType="end"/>
        </w:r>
      </w:hyperlink>
    </w:p>
    <w:p w14:paraId="6B967572" w14:textId="021CE38F" w:rsidR="009E0B0E" w:rsidRDefault="009E0B0E">
      <w:pPr>
        <w:pStyle w:val="31"/>
        <w:rPr>
          <w:rFonts w:asciiTheme="minorHAnsi" w:eastAsiaTheme="minorEastAsia" w:hAnsiTheme="minorHAnsi" w:cstheme="minorBidi"/>
          <w:kern w:val="2"/>
          <w14:ligatures w14:val="standardContextual"/>
        </w:rPr>
      </w:pPr>
      <w:hyperlink w:anchor="_Toc222380312" w:history="1">
        <w:r w:rsidRPr="00821DF6">
          <w:rPr>
            <w:rStyle w:val="a3"/>
          </w:rPr>
          <w:t>Совет Федерации на пленарном заседании одобрил закон, предусматривающий освобождение от составления собственной консолидированной финансовой отчетности для некоторых организаций финансового рынка. Документ инициирован правительством РФ.</w:t>
        </w:r>
        <w:r>
          <w:rPr>
            <w:webHidden/>
          </w:rPr>
          <w:tab/>
        </w:r>
        <w:r>
          <w:rPr>
            <w:webHidden/>
          </w:rPr>
          <w:fldChar w:fldCharType="begin"/>
        </w:r>
        <w:r>
          <w:rPr>
            <w:webHidden/>
          </w:rPr>
          <w:instrText xml:space="preserve"> PAGEREF _Toc222380312 \h </w:instrText>
        </w:r>
        <w:r>
          <w:rPr>
            <w:webHidden/>
          </w:rPr>
        </w:r>
        <w:r>
          <w:rPr>
            <w:webHidden/>
          </w:rPr>
          <w:fldChar w:fldCharType="separate"/>
        </w:r>
        <w:r>
          <w:rPr>
            <w:webHidden/>
          </w:rPr>
          <w:t>14</w:t>
        </w:r>
        <w:r>
          <w:rPr>
            <w:webHidden/>
          </w:rPr>
          <w:fldChar w:fldCharType="end"/>
        </w:r>
      </w:hyperlink>
    </w:p>
    <w:p w14:paraId="062483BD" w14:textId="62240E75"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13" w:history="1">
        <w:r w:rsidRPr="00821DF6">
          <w:rPr>
            <w:rStyle w:val="a3"/>
            <w:noProof/>
          </w:rPr>
          <w:t>ТАСС, 18.02.2026, Около 60% опрошенных россиян сочли нормой финансово поддерживать детей до 25 лет</w:t>
        </w:r>
        <w:r>
          <w:rPr>
            <w:noProof/>
            <w:webHidden/>
          </w:rPr>
          <w:tab/>
        </w:r>
        <w:r>
          <w:rPr>
            <w:noProof/>
            <w:webHidden/>
          </w:rPr>
          <w:fldChar w:fldCharType="begin"/>
        </w:r>
        <w:r>
          <w:rPr>
            <w:noProof/>
            <w:webHidden/>
          </w:rPr>
          <w:instrText xml:space="preserve"> PAGEREF _Toc222380313 \h </w:instrText>
        </w:r>
        <w:r>
          <w:rPr>
            <w:noProof/>
            <w:webHidden/>
          </w:rPr>
        </w:r>
        <w:r>
          <w:rPr>
            <w:noProof/>
            <w:webHidden/>
          </w:rPr>
          <w:fldChar w:fldCharType="separate"/>
        </w:r>
        <w:r>
          <w:rPr>
            <w:noProof/>
            <w:webHidden/>
          </w:rPr>
          <w:t>15</w:t>
        </w:r>
        <w:r>
          <w:rPr>
            <w:noProof/>
            <w:webHidden/>
          </w:rPr>
          <w:fldChar w:fldCharType="end"/>
        </w:r>
      </w:hyperlink>
    </w:p>
    <w:p w14:paraId="41DE9DBC" w14:textId="19E99063" w:rsidR="009E0B0E" w:rsidRDefault="009E0B0E">
      <w:pPr>
        <w:pStyle w:val="31"/>
        <w:rPr>
          <w:rFonts w:asciiTheme="minorHAnsi" w:eastAsiaTheme="minorEastAsia" w:hAnsiTheme="minorHAnsi" w:cstheme="minorBidi"/>
          <w:kern w:val="2"/>
          <w14:ligatures w14:val="standardContextual"/>
        </w:rPr>
      </w:pPr>
      <w:hyperlink w:anchor="_Toc222380314" w:history="1">
        <w:r w:rsidRPr="00821DF6">
          <w:rPr>
            <w:rStyle w:val="a3"/>
          </w:rPr>
          <w:t>Порядка 60% россиян считают, что родителям следует оказывать финансовую поддержку своим взрослым детям до 25 лет. Среди самых популярных потенциальных расходов - первый взнос по ипотеке, аренда жилья и обучение в вузе, говорится в результатах опроса, проведенного НПФ «Эволюция» (есть в распоряжении ТАСС).</w:t>
        </w:r>
        <w:r>
          <w:rPr>
            <w:webHidden/>
          </w:rPr>
          <w:tab/>
        </w:r>
        <w:r>
          <w:rPr>
            <w:webHidden/>
          </w:rPr>
          <w:fldChar w:fldCharType="begin"/>
        </w:r>
        <w:r>
          <w:rPr>
            <w:webHidden/>
          </w:rPr>
          <w:instrText xml:space="preserve"> PAGEREF _Toc222380314 \h </w:instrText>
        </w:r>
        <w:r>
          <w:rPr>
            <w:webHidden/>
          </w:rPr>
        </w:r>
        <w:r>
          <w:rPr>
            <w:webHidden/>
          </w:rPr>
          <w:fldChar w:fldCharType="separate"/>
        </w:r>
        <w:r>
          <w:rPr>
            <w:webHidden/>
          </w:rPr>
          <w:t>15</w:t>
        </w:r>
        <w:r>
          <w:rPr>
            <w:webHidden/>
          </w:rPr>
          <w:fldChar w:fldCharType="end"/>
        </w:r>
      </w:hyperlink>
    </w:p>
    <w:p w14:paraId="1456185B" w14:textId="464B4600"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15" w:history="1">
        <w:r w:rsidRPr="00821DF6">
          <w:rPr>
            <w:rStyle w:val="a3"/>
            <w:noProof/>
          </w:rPr>
          <w:t>Ведомости, 17.02.2026, От мала до велика: россияне рассказали, до какого возраста нужно содержать взрослых детей</w:t>
        </w:r>
        <w:r>
          <w:rPr>
            <w:noProof/>
            <w:webHidden/>
          </w:rPr>
          <w:tab/>
        </w:r>
        <w:r>
          <w:rPr>
            <w:noProof/>
            <w:webHidden/>
          </w:rPr>
          <w:fldChar w:fldCharType="begin"/>
        </w:r>
        <w:r>
          <w:rPr>
            <w:noProof/>
            <w:webHidden/>
          </w:rPr>
          <w:instrText xml:space="preserve"> PAGEREF _Toc222380315 \h </w:instrText>
        </w:r>
        <w:r>
          <w:rPr>
            <w:noProof/>
            <w:webHidden/>
          </w:rPr>
        </w:r>
        <w:r>
          <w:rPr>
            <w:noProof/>
            <w:webHidden/>
          </w:rPr>
          <w:fldChar w:fldCharType="separate"/>
        </w:r>
        <w:r>
          <w:rPr>
            <w:noProof/>
            <w:webHidden/>
          </w:rPr>
          <w:t>16</w:t>
        </w:r>
        <w:r>
          <w:rPr>
            <w:noProof/>
            <w:webHidden/>
          </w:rPr>
          <w:fldChar w:fldCharType="end"/>
        </w:r>
      </w:hyperlink>
    </w:p>
    <w:p w14:paraId="45F1137B" w14:textId="56D85DA0" w:rsidR="009E0B0E" w:rsidRDefault="009E0B0E">
      <w:pPr>
        <w:pStyle w:val="31"/>
        <w:rPr>
          <w:rFonts w:asciiTheme="minorHAnsi" w:eastAsiaTheme="minorEastAsia" w:hAnsiTheme="minorHAnsi" w:cstheme="minorBidi"/>
          <w:kern w:val="2"/>
          <w14:ligatures w14:val="standardContextual"/>
        </w:rPr>
      </w:pPr>
      <w:hyperlink w:anchor="_Toc222380316" w:history="1">
        <w:r w:rsidRPr="00821DF6">
          <w:rPr>
            <w:rStyle w:val="a3"/>
          </w:rPr>
          <w:t>Больше половины россиян (69%) считают, что родителям следует оказывать финансовую поддержку своим взрослым детям как минимум до 25 лет. Среди самых популярных потенциальных расходов - первый взнос по ипотеке, аренда жилья и обучение в вузе. При этом формировать накопления на эти цели готово 43%. Такие результаты получил НПФ Эволюция в ходе исследования, проведенного в феврале 2026 года методом онлайн-анкетирования среди 1,5 тыс. респондентов по всей стране.</w:t>
        </w:r>
        <w:r>
          <w:rPr>
            <w:webHidden/>
          </w:rPr>
          <w:tab/>
        </w:r>
        <w:r>
          <w:rPr>
            <w:webHidden/>
          </w:rPr>
          <w:fldChar w:fldCharType="begin"/>
        </w:r>
        <w:r>
          <w:rPr>
            <w:webHidden/>
          </w:rPr>
          <w:instrText xml:space="preserve"> PAGEREF _Toc222380316 \h </w:instrText>
        </w:r>
        <w:r>
          <w:rPr>
            <w:webHidden/>
          </w:rPr>
        </w:r>
        <w:r>
          <w:rPr>
            <w:webHidden/>
          </w:rPr>
          <w:fldChar w:fldCharType="separate"/>
        </w:r>
        <w:r>
          <w:rPr>
            <w:webHidden/>
          </w:rPr>
          <w:t>16</w:t>
        </w:r>
        <w:r>
          <w:rPr>
            <w:webHidden/>
          </w:rPr>
          <w:fldChar w:fldCharType="end"/>
        </w:r>
      </w:hyperlink>
    </w:p>
    <w:p w14:paraId="4C8526E8" w14:textId="42CCAF18"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17" w:history="1">
        <w:r w:rsidRPr="00821DF6">
          <w:rPr>
            <w:rStyle w:val="a3"/>
            <w:noProof/>
          </w:rPr>
          <w:t>АК&amp;М, 19.02.2026, НПФ «Благосостояние» отмечает 30-летие</w:t>
        </w:r>
        <w:r>
          <w:rPr>
            <w:noProof/>
            <w:webHidden/>
          </w:rPr>
          <w:tab/>
        </w:r>
        <w:r>
          <w:rPr>
            <w:noProof/>
            <w:webHidden/>
          </w:rPr>
          <w:fldChar w:fldCharType="begin"/>
        </w:r>
        <w:r>
          <w:rPr>
            <w:noProof/>
            <w:webHidden/>
          </w:rPr>
          <w:instrText xml:space="preserve"> PAGEREF _Toc222380317 \h </w:instrText>
        </w:r>
        <w:r>
          <w:rPr>
            <w:noProof/>
            <w:webHidden/>
          </w:rPr>
        </w:r>
        <w:r>
          <w:rPr>
            <w:noProof/>
            <w:webHidden/>
          </w:rPr>
          <w:fldChar w:fldCharType="separate"/>
        </w:r>
        <w:r>
          <w:rPr>
            <w:noProof/>
            <w:webHidden/>
          </w:rPr>
          <w:t>17</w:t>
        </w:r>
        <w:r>
          <w:rPr>
            <w:noProof/>
            <w:webHidden/>
          </w:rPr>
          <w:fldChar w:fldCharType="end"/>
        </w:r>
      </w:hyperlink>
    </w:p>
    <w:p w14:paraId="2B32683A" w14:textId="0318234E" w:rsidR="009E0B0E" w:rsidRDefault="009E0B0E">
      <w:pPr>
        <w:pStyle w:val="31"/>
        <w:rPr>
          <w:rFonts w:asciiTheme="minorHAnsi" w:eastAsiaTheme="minorEastAsia" w:hAnsiTheme="minorHAnsi" w:cstheme="minorBidi"/>
          <w:kern w:val="2"/>
          <w14:ligatures w14:val="standardContextual"/>
        </w:rPr>
      </w:pPr>
      <w:hyperlink w:anchor="_Toc222380318" w:history="1">
        <w:r w:rsidRPr="00821DF6">
          <w:rPr>
            <w:rStyle w:val="a3"/>
          </w:rPr>
          <w:t>19 февраля 2026 года исполняется 30 лет с момента основания НПФ «Благосостояние». Фонд встречает юбилей в статусе лидера российского рынка по количеству получателей негосударственной пенсии и объему пенсионных резервов в управлении.</w:t>
        </w:r>
        <w:r>
          <w:rPr>
            <w:webHidden/>
          </w:rPr>
          <w:tab/>
        </w:r>
        <w:r>
          <w:rPr>
            <w:webHidden/>
          </w:rPr>
          <w:fldChar w:fldCharType="begin"/>
        </w:r>
        <w:r>
          <w:rPr>
            <w:webHidden/>
          </w:rPr>
          <w:instrText xml:space="preserve"> PAGEREF _Toc222380318 \h </w:instrText>
        </w:r>
        <w:r>
          <w:rPr>
            <w:webHidden/>
          </w:rPr>
        </w:r>
        <w:r>
          <w:rPr>
            <w:webHidden/>
          </w:rPr>
          <w:fldChar w:fldCharType="separate"/>
        </w:r>
        <w:r>
          <w:rPr>
            <w:webHidden/>
          </w:rPr>
          <w:t>17</w:t>
        </w:r>
        <w:r>
          <w:rPr>
            <w:webHidden/>
          </w:rPr>
          <w:fldChar w:fldCharType="end"/>
        </w:r>
      </w:hyperlink>
    </w:p>
    <w:p w14:paraId="47D539A9" w14:textId="6E145447"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19" w:history="1">
        <w:r w:rsidRPr="00821DF6">
          <w:rPr>
            <w:rStyle w:val="a3"/>
            <w:noProof/>
          </w:rPr>
          <w:t>Ваш Пенсионный Брокер, 18.02.2026, О предоставлении лицензии ООО УК «ТРАСТ ФИНАНС»</w:t>
        </w:r>
        <w:r>
          <w:rPr>
            <w:noProof/>
            <w:webHidden/>
          </w:rPr>
          <w:tab/>
        </w:r>
        <w:r>
          <w:rPr>
            <w:noProof/>
            <w:webHidden/>
          </w:rPr>
          <w:fldChar w:fldCharType="begin"/>
        </w:r>
        <w:r>
          <w:rPr>
            <w:noProof/>
            <w:webHidden/>
          </w:rPr>
          <w:instrText xml:space="preserve"> PAGEREF _Toc222380319 \h </w:instrText>
        </w:r>
        <w:r>
          <w:rPr>
            <w:noProof/>
            <w:webHidden/>
          </w:rPr>
        </w:r>
        <w:r>
          <w:rPr>
            <w:noProof/>
            <w:webHidden/>
          </w:rPr>
          <w:fldChar w:fldCharType="separate"/>
        </w:r>
        <w:r>
          <w:rPr>
            <w:noProof/>
            <w:webHidden/>
          </w:rPr>
          <w:t>18</w:t>
        </w:r>
        <w:r>
          <w:rPr>
            <w:noProof/>
            <w:webHidden/>
          </w:rPr>
          <w:fldChar w:fldCharType="end"/>
        </w:r>
      </w:hyperlink>
    </w:p>
    <w:p w14:paraId="5A11D1E6" w14:textId="0FAD8221" w:rsidR="009E0B0E" w:rsidRDefault="009E0B0E">
      <w:pPr>
        <w:pStyle w:val="31"/>
        <w:rPr>
          <w:rFonts w:asciiTheme="minorHAnsi" w:eastAsiaTheme="minorEastAsia" w:hAnsiTheme="minorHAnsi" w:cstheme="minorBidi"/>
          <w:kern w:val="2"/>
          <w14:ligatures w14:val="standardContextual"/>
        </w:rPr>
      </w:pPr>
      <w:hyperlink w:anchor="_Toc222380320" w:history="1">
        <w:r w:rsidRPr="00821DF6">
          <w:rPr>
            <w:rStyle w:val="a3"/>
          </w:rPr>
          <w:t>Банк России 17.02.2026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21-000-1-01176 ОБЩЕСТВУ С ОГРАНИЧЕННОЙ ОТВЕТСТВЕННОСТЬЮ УПРАВЛЯЮЩЕЙ КОМПАНИИ «ТРАСТ ФИНАНС» (Нижегородская область, г.о. город Нижний Новгород, г. Нижний Новгород).</w:t>
        </w:r>
        <w:r>
          <w:rPr>
            <w:webHidden/>
          </w:rPr>
          <w:tab/>
        </w:r>
        <w:r>
          <w:rPr>
            <w:webHidden/>
          </w:rPr>
          <w:fldChar w:fldCharType="begin"/>
        </w:r>
        <w:r>
          <w:rPr>
            <w:webHidden/>
          </w:rPr>
          <w:instrText xml:space="preserve"> PAGEREF _Toc222380320 \h </w:instrText>
        </w:r>
        <w:r>
          <w:rPr>
            <w:webHidden/>
          </w:rPr>
        </w:r>
        <w:r>
          <w:rPr>
            <w:webHidden/>
          </w:rPr>
          <w:fldChar w:fldCharType="separate"/>
        </w:r>
        <w:r>
          <w:rPr>
            <w:webHidden/>
          </w:rPr>
          <w:t>18</w:t>
        </w:r>
        <w:r>
          <w:rPr>
            <w:webHidden/>
          </w:rPr>
          <w:fldChar w:fldCharType="end"/>
        </w:r>
      </w:hyperlink>
    </w:p>
    <w:p w14:paraId="78AE45A9" w14:textId="779EEE5A"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21" w:history="1">
        <w:r w:rsidRPr="00821DF6">
          <w:rPr>
            <w:rStyle w:val="a3"/>
            <w:noProof/>
          </w:rPr>
          <w:t>РБК, 18.02.2026, Более 3,2 млрд рублей выплатил Ханты-Мансийский НПФ клиентам за 2025 год</w:t>
        </w:r>
        <w:r>
          <w:rPr>
            <w:noProof/>
            <w:webHidden/>
          </w:rPr>
          <w:tab/>
        </w:r>
        <w:r>
          <w:rPr>
            <w:noProof/>
            <w:webHidden/>
          </w:rPr>
          <w:fldChar w:fldCharType="begin"/>
        </w:r>
        <w:r>
          <w:rPr>
            <w:noProof/>
            <w:webHidden/>
          </w:rPr>
          <w:instrText xml:space="preserve"> PAGEREF _Toc222380321 \h </w:instrText>
        </w:r>
        <w:r>
          <w:rPr>
            <w:noProof/>
            <w:webHidden/>
          </w:rPr>
        </w:r>
        <w:r>
          <w:rPr>
            <w:noProof/>
            <w:webHidden/>
          </w:rPr>
          <w:fldChar w:fldCharType="separate"/>
        </w:r>
        <w:r>
          <w:rPr>
            <w:noProof/>
            <w:webHidden/>
          </w:rPr>
          <w:t>19</w:t>
        </w:r>
        <w:r>
          <w:rPr>
            <w:noProof/>
            <w:webHidden/>
          </w:rPr>
          <w:fldChar w:fldCharType="end"/>
        </w:r>
      </w:hyperlink>
    </w:p>
    <w:p w14:paraId="50B34DD1" w14:textId="36534C44" w:rsidR="009E0B0E" w:rsidRDefault="009E0B0E">
      <w:pPr>
        <w:pStyle w:val="31"/>
        <w:rPr>
          <w:rFonts w:asciiTheme="minorHAnsi" w:eastAsiaTheme="minorEastAsia" w:hAnsiTheme="minorHAnsi" w:cstheme="minorBidi"/>
          <w:kern w:val="2"/>
          <w14:ligatures w14:val="standardContextual"/>
        </w:rPr>
      </w:pPr>
      <w:hyperlink w:anchor="_Toc222380322" w:history="1">
        <w:r w:rsidRPr="00821DF6">
          <w:rPr>
            <w:rStyle w:val="a3"/>
          </w:rPr>
          <w:t>Ханты-Мансийский негосударственный пенсионный фонд (НПФ) отчитался о результатах финансовой деятельности за 2025 год. По данным фонда, выплаты в рамках обязательного пенсионного страхования (ОПС) составили 719,1 миллиона рублей. Средства направлены получателям в установленные сроки.</w:t>
        </w:r>
        <w:r>
          <w:rPr>
            <w:webHidden/>
          </w:rPr>
          <w:tab/>
        </w:r>
        <w:r>
          <w:rPr>
            <w:webHidden/>
          </w:rPr>
          <w:fldChar w:fldCharType="begin"/>
        </w:r>
        <w:r>
          <w:rPr>
            <w:webHidden/>
          </w:rPr>
          <w:instrText xml:space="preserve"> PAGEREF _Toc222380322 \h </w:instrText>
        </w:r>
        <w:r>
          <w:rPr>
            <w:webHidden/>
          </w:rPr>
        </w:r>
        <w:r>
          <w:rPr>
            <w:webHidden/>
          </w:rPr>
          <w:fldChar w:fldCharType="separate"/>
        </w:r>
        <w:r>
          <w:rPr>
            <w:webHidden/>
          </w:rPr>
          <w:t>19</w:t>
        </w:r>
        <w:r>
          <w:rPr>
            <w:webHidden/>
          </w:rPr>
          <w:fldChar w:fldCharType="end"/>
        </w:r>
      </w:hyperlink>
    </w:p>
    <w:p w14:paraId="09BD3AA6" w14:textId="354BB907"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23" w:history="1">
        <w:r w:rsidRPr="00821DF6">
          <w:rPr>
            <w:rStyle w:val="a3"/>
            <w:noProof/>
          </w:rPr>
          <w:t>Kotovse, 18.02.2026, Жители Тюмени получили от НПФ «БУДУЩЕЕ» выплат на 212 млн рублей в 2025 году</w:t>
        </w:r>
        <w:r>
          <w:rPr>
            <w:noProof/>
            <w:webHidden/>
          </w:rPr>
          <w:tab/>
        </w:r>
        <w:r>
          <w:rPr>
            <w:noProof/>
            <w:webHidden/>
          </w:rPr>
          <w:fldChar w:fldCharType="begin"/>
        </w:r>
        <w:r>
          <w:rPr>
            <w:noProof/>
            <w:webHidden/>
          </w:rPr>
          <w:instrText xml:space="preserve"> PAGEREF _Toc222380323 \h </w:instrText>
        </w:r>
        <w:r>
          <w:rPr>
            <w:noProof/>
            <w:webHidden/>
          </w:rPr>
        </w:r>
        <w:r>
          <w:rPr>
            <w:noProof/>
            <w:webHidden/>
          </w:rPr>
          <w:fldChar w:fldCharType="separate"/>
        </w:r>
        <w:r>
          <w:rPr>
            <w:noProof/>
            <w:webHidden/>
          </w:rPr>
          <w:t>19</w:t>
        </w:r>
        <w:r>
          <w:rPr>
            <w:noProof/>
            <w:webHidden/>
          </w:rPr>
          <w:fldChar w:fldCharType="end"/>
        </w:r>
      </w:hyperlink>
    </w:p>
    <w:p w14:paraId="3B7F9F1D" w14:textId="440DCA87" w:rsidR="009E0B0E" w:rsidRDefault="009E0B0E">
      <w:pPr>
        <w:pStyle w:val="31"/>
        <w:rPr>
          <w:rFonts w:asciiTheme="minorHAnsi" w:eastAsiaTheme="minorEastAsia" w:hAnsiTheme="minorHAnsi" w:cstheme="minorBidi"/>
          <w:kern w:val="2"/>
          <w14:ligatures w14:val="standardContextual"/>
        </w:rPr>
      </w:pPr>
      <w:hyperlink w:anchor="_Toc222380324" w:history="1">
        <w:r w:rsidRPr="00821DF6">
          <w:rPr>
            <w:rStyle w:val="a3"/>
          </w:rPr>
          <w:t>По итогам 2025 года НПФ «БУДУЩЕЕ» выплатил жителям Тюмени пенсии на сумму 212 млн руб., что на 24% больше, чем годом ранее. Большую часть из этой суммы составили пенсии в рамках договоров обязательного пенсионного страхования (ОПС) - 128 млн руб. Объем выплат негосударственных пенсий по договорам негосударственного пенсионного обеспечения (НПО) составил 84 млн руб.</w:t>
        </w:r>
        <w:r>
          <w:rPr>
            <w:webHidden/>
          </w:rPr>
          <w:tab/>
        </w:r>
        <w:r>
          <w:rPr>
            <w:webHidden/>
          </w:rPr>
          <w:fldChar w:fldCharType="begin"/>
        </w:r>
        <w:r>
          <w:rPr>
            <w:webHidden/>
          </w:rPr>
          <w:instrText xml:space="preserve"> PAGEREF _Toc222380324 \h </w:instrText>
        </w:r>
        <w:r>
          <w:rPr>
            <w:webHidden/>
          </w:rPr>
        </w:r>
        <w:r>
          <w:rPr>
            <w:webHidden/>
          </w:rPr>
          <w:fldChar w:fldCharType="separate"/>
        </w:r>
        <w:r>
          <w:rPr>
            <w:webHidden/>
          </w:rPr>
          <w:t>19</w:t>
        </w:r>
        <w:r>
          <w:rPr>
            <w:webHidden/>
          </w:rPr>
          <w:fldChar w:fldCharType="end"/>
        </w:r>
      </w:hyperlink>
    </w:p>
    <w:p w14:paraId="2A07E6D7" w14:textId="30F2BB5B" w:rsidR="009E0B0E" w:rsidRDefault="009E0B0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380325" w:history="1">
        <w:r w:rsidRPr="00821DF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_Toc222380325 \h </w:instrText>
        </w:r>
        <w:r>
          <w:rPr>
            <w:noProof/>
            <w:webHidden/>
          </w:rPr>
        </w:r>
        <w:r>
          <w:rPr>
            <w:noProof/>
            <w:webHidden/>
          </w:rPr>
          <w:fldChar w:fldCharType="separate"/>
        </w:r>
        <w:r>
          <w:rPr>
            <w:noProof/>
            <w:webHidden/>
          </w:rPr>
          <w:t>20</w:t>
        </w:r>
        <w:r>
          <w:rPr>
            <w:noProof/>
            <w:webHidden/>
          </w:rPr>
          <w:fldChar w:fldCharType="end"/>
        </w:r>
      </w:hyperlink>
    </w:p>
    <w:p w14:paraId="0C2F8EA4" w14:textId="05A438BA"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26" w:history="1">
        <w:r w:rsidRPr="00821DF6">
          <w:rPr>
            <w:rStyle w:val="a3"/>
            <w:noProof/>
          </w:rPr>
          <w:t>РИА Финмаркет, 18.02.2026, Минфин РФ будет стимулировать НПФ предлагать разные стратегии в рамках ПДС</w:t>
        </w:r>
        <w:r>
          <w:rPr>
            <w:noProof/>
            <w:webHidden/>
          </w:rPr>
          <w:tab/>
        </w:r>
        <w:r>
          <w:rPr>
            <w:noProof/>
            <w:webHidden/>
          </w:rPr>
          <w:fldChar w:fldCharType="begin"/>
        </w:r>
        <w:r>
          <w:rPr>
            <w:noProof/>
            <w:webHidden/>
          </w:rPr>
          <w:instrText xml:space="preserve"> PAGEREF _Toc222380326 \h </w:instrText>
        </w:r>
        <w:r>
          <w:rPr>
            <w:noProof/>
            <w:webHidden/>
          </w:rPr>
        </w:r>
        <w:r>
          <w:rPr>
            <w:noProof/>
            <w:webHidden/>
          </w:rPr>
          <w:fldChar w:fldCharType="separate"/>
        </w:r>
        <w:r>
          <w:rPr>
            <w:noProof/>
            <w:webHidden/>
          </w:rPr>
          <w:t>20</w:t>
        </w:r>
        <w:r>
          <w:rPr>
            <w:noProof/>
            <w:webHidden/>
          </w:rPr>
          <w:fldChar w:fldCharType="end"/>
        </w:r>
      </w:hyperlink>
    </w:p>
    <w:p w14:paraId="177FD677" w14:textId="73786AEC" w:rsidR="009E0B0E" w:rsidRDefault="009E0B0E">
      <w:pPr>
        <w:pStyle w:val="31"/>
        <w:rPr>
          <w:rFonts w:asciiTheme="minorHAnsi" w:eastAsiaTheme="minorEastAsia" w:hAnsiTheme="minorHAnsi" w:cstheme="minorBidi"/>
          <w:kern w:val="2"/>
          <w14:ligatures w14:val="standardContextual"/>
        </w:rPr>
      </w:pPr>
      <w:hyperlink w:anchor="_Toc222380327" w:history="1">
        <w:r w:rsidRPr="00821DF6">
          <w:rPr>
            <w:rStyle w:val="a3"/>
          </w:rPr>
          <w:t>Минфин РФ планирует стимулировать негосударственные пенсионные фонды (НПФ) предлагать гражданам разные стратегии инвестирования в рамках программы долгосрочных сбережений (ПДС), сообщил заместитель директора департамента финансовой политики министерства Павел Шахлевич.</w:t>
        </w:r>
        <w:r>
          <w:rPr>
            <w:webHidden/>
          </w:rPr>
          <w:tab/>
        </w:r>
        <w:r>
          <w:rPr>
            <w:webHidden/>
          </w:rPr>
          <w:fldChar w:fldCharType="begin"/>
        </w:r>
        <w:r>
          <w:rPr>
            <w:webHidden/>
          </w:rPr>
          <w:instrText xml:space="preserve"> PAGEREF _Toc222380327 \h </w:instrText>
        </w:r>
        <w:r>
          <w:rPr>
            <w:webHidden/>
          </w:rPr>
        </w:r>
        <w:r>
          <w:rPr>
            <w:webHidden/>
          </w:rPr>
          <w:fldChar w:fldCharType="separate"/>
        </w:r>
        <w:r>
          <w:rPr>
            <w:webHidden/>
          </w:rPr>
          <w:t>20</w:t>
        </w:r>
        <w:r>
          <w:rPr>
            <w:webHidden/>
          </w:rPr>
          <w:fldChar w:fldCharType="end"/>
        </w:r>
      </w:hyperlink>
    </w:p>
    <w:p w14:paraId="1E533F24" w14:textId="4F130F4C"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28" w:history="1">
        <w:r w:rsidRPr="00821DF6">
          <w:rPr>
            <w:rStyle w:val="a3"/>
            <w:noProof/>
          </w:rPr>
          <w:t>РИА Новости, 18.02.2026, Минфин РФ работает с НПФ по расширению инвестстратегий программы долгосрочных сбережений</w:t>
        </w:r>
        <w:r>
          <w:rPr>
            <w:noProof/>
            <w:webHidden/>
          </w:rPr>
          <w:tab/>
        </w:r>
        <w:r>
          <w:rPr>
            <w:noProof/>
            <w:webHidden/>
          </w:rPr>
          <w:fldChar w:fldCharType="begin"/>
        </w:r>
        <w:r>
          <w:rPr>
            <w:noProof/>
            <w:webHidden/>
          </w:rPr>
          <w:instrText xml:space="preserve"> PAGEREF _Toc222380328 \h </w:instrText>
        </w:r>
        <w:r>
          <w:rPr>
            <w:noProof/>
            <w:webHidden/>
          </w:rPr>
        </w:r>
        <w:r>
          <w:rPr>
            <w:noProof/>
            <w:webHidden/>
          </w:rPr>
          <w:fldChar w:fldCharType="separate"/>
        </w:r>
        <w:r>
          <w:rPr>
            <w:noProof/>
            <w:webHidden/>
          </w:rPr>
          <w:t>21</w:t>
        </w:r>
        <w:r>
          <w:rPr>
            <w:noProof/>
            <w:webHidden/>
          </w:rPr>
          <w:fldChar w:fldCharType="end"/>
        </w:r>
      </w:hyperlink>
    </w:p>
    <w:p w14:paraId="7AAA0C7C" w14:textId="64D03FC6" w:rsidR="009E0B0E" w:rsidRDefault="009E0B0E">
      <w:pPr>
        <w:pStyle w:val="31"/>
        <w:rPr>
          <w:rFonts w:asciiTheme="minorHAnsi" w:eastAsiaTheme="minorEastAsia" w:hAnsiTheme="minorHAnsi" w:cstheme="minorBidi"/>
          <w:kern w:val="2"/>
          <w14:ligatures w14:val="standardContextual"/>
        </w:rPr>
      </w:pPr>
      <w:hyperlink w:anchor="_Toc222380329" w:history="1">
        <w:r w:rsidRPr="00821DF6">
          <w:rPr>
            <w:rStyle w:val="a3"/>
          </w:rPr>
          <w:t>Минфин России работает с негосударственными пенсионными фондами по расширению инвестиционных стратегий в рамках программы долгосрочных сбережений, заявил заместитель директора департамента финансовой политики Минфина России Павел Шахлевич.</w:t>
        </w:r>
        <w:r>
          <w:rPr>
            <w:webHidden/>
          </w:rPr>
          <w:tab/>
        </w:r>
        <w:r>
          <w:rPr>
            <w:webHidden/>
          </w:rPr>
          <w:fldChar w:fldCharType="begin"/>
        </w:r>
        <w:r>
          <w:rPr>
            <w:webHidden/>
          </w:rPr>
          <w:instrText xml:space="preserve"> PAGEREF _Toc222380329 \h </w:instrText>
        </w:r>
        <w:r>
          <w:rPr>
            <w:webHidden/>
          </w:rPr>
        </w:r>
        <w:r>
          <w:rPr>
            <w:webHidden/>
          </w:rPr>
          <w:fldChar w:fldCharType="separate"/>
        </w:r>
        <w:r>
          <w:rPr>
            <w:webHidden/>
          </w:rPr>
          <w:t>21</w:t>
        </w:r>
        <w:r>
          <w:rPr>
            <w:webHidden/>
          </w:rPr>
          <w:fldChar w:fldCharType="end"/>
        </w:r>
      </w:hyperlink>
    </w:p>
    <w:p w14:paraId="68ADEB07" w14:textId="35ABE233"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30" w:history="1">
        <w:r w:rsidRPr="00821DF6">
          <w:rPr>
            <w:rStyle w:val="a3"/>
            <w:noProof/>
          </w:rPr>
          <w:t>ТАСС, 19.02.2026, В ГД разъяснили изменения, касающиеся долгосрочных сбережений пенсионеров</w:t>
        </w:r>
        <w:r>
          <w:rPr>
            <w:noProof/>
            <w:webHidden/>
          </w:rPr>
          <w:tab/>
        </w:r>
        <w:r>
          <w:rPr>
            <w:noProof/>
            <w:webHidden/>
          </w:rPr>
          <w:fldChar w:fldCharType="begin"/>
        </w:r>
        <w:r>
          <w:rPr>
            <w:noProof/>
            <w:webHidden/>
          </w:rPr>
          <w:instrText xml:space="preserve"> PAGEREF _Toc222380330 \h </w:instrText>
        </w:r>
        <w:r>
          <w:rPr>
            <w:noProof/>
            <w:webHidden/>
          </w:rPr>
        </w:r>
        <w:r>
          <w:rPr>
            <w:noProof/>
            <w:webHidden/>
          </w:rPr>
          <w:fldChar w:fldCharType="separate"/>
        </w:r>
        <w:r>
          <w:rPr>
            <w:noProof/>
            <w:webHidden/>
          </w:rPr>
          <w:t>21</w:t>
        </w:r>
        <w:r>
          <w:rPr>
            <w:noProof/>
            <w:webHidden/>
          </w:rPr>
          <w:fldChar w:fldCharType="end"/>
        </w:r>
      </w:hyperlink>
    </w:p>
    <w:p w14:paraId="731E60A7" w14:textId="1FF30F28" w:rsidR="009E0B0E" w:rsidRDefault="009E0B0E">
      <w:pPr>
        <w:pStyle w:val="31"/>
        <w:rPr>
          <w:rFonts w:asciiTheme="minorHAnsi" w:eastAsiaTheme="minorEastAsia" w:hAnsiTheme="minorHAnsi" w:cstheme="minorBidi"/>
          <w:kern w:val="2"/>
          <w14:ligatures w14:val="standardContextual"/>
        </w:rPr>
      </w:pPr>
      <w:hyperlink w:anchor="_Toc222380331" w:history="1">
        <w:r w:rsidRPr="00821DF6">
          <w:rPr>
            <w:rStyle w:val="a3"/>
          </w:rPr>
          <w:t>Программа долгосрочных сбережений претерпит изменения - срок, по истечении которого можно будет снять деньги государственного софинансирования без потерь, будет увеличен с одного года до пяти лет. Это изменение особенно актуально для пенсионеров и предпенсионеров, разъяснил ТАСС зампредседателя комитета Госдумы по бюджету и налогам Каплан Панеш (фракция ЛДПР).</w:t>
        </w:r>
        <w:r>
          <w:rPr>
            <w:webHidden/>
          </w:rPr>
          <w:tab/>
        </w:r>
        <w:r>
          <w:rPr>
            <w:webHidden/>
          </w:rPr>
          <w:fldChar w:fldCharType="begin"/>
        </w:r>
        <w:r>
          <w:rPr>
            <w:webHidden/>
          </w:rPr>
          <w:instrText xml:space="preserve"> PAGEREF _Toc222380331 \h </w:instrText>
        </w:r>
        <w:r>
          <w:rPr>
            <w:webHidden/>
          </w:rPr>
        </w:r>
        <w:r>
          <w:rPr>
            <w:webHidden/>
          </w:rPr>
          <w:fldChar w:fldCharType="separate"/>
        </w:r>
        <w:r>
          <w:rPr>
            <w:webHidden/>
          </w:rPr>
          <w:t>21</w:t>
        </w:r>
        <w:r>
          <w:rPr>
            <w:webHidden/>
          </w:rPr>
          <w:fldChar w:fldCharType="end"/>
        </w:r>
      </w:hyperlink>
    </w:p>
    <w:p w14:paraId="6F6EE332" w14:textId="71EDFB39"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32" w:history="1">
        <w:r w:rsidRPr="00821DF6">
          <w:rPr>
            <w:rStyle w:val="a3"/>
            <w:noProof/>
          </w:rPr>
          <w:t>ТАСС, 18.02.2026, Жители ЦФО держат на счетах по программе долгосрочных сбережений 175 млрд рублей</w:t>
        </w:r>
        <w:r>
          <w:rPr>
            <w:noProof/>
            <w:webHidden/>
          </w:rPr>
          <w:tab/>
        </w:r>
        <w:r>
          <w:rPr>
            <w:noProof/>
            <w:webHidden/>
          </w:rPr>
          <w:fldChar w:fldCharType="begin"/>
        </w:r>
        <w:r>
          <w:rPr>
            <w:noProof/>
            <w:webHidden/>
          </w:rPr>
          <w:instrText xml:space="preserve"> PAGEREF _Toc222380332 \h </w:instrText>
        </w:r>
        <w:r>
          <w:rPr>
            <w:noProof/>
            <w:webHidden/>
          </w:rPr>
        </w:r>
        <w:r>
          <w:rPr>
            <w:noProof/>
            <w:webHidden/>
          </w:rPr>
          <w:fldChar w:fldCharType="separate"/>
        </w:r>
        <w:r>
          <w:rPr>
            <w:noProof/>
            <w:webHidden/>
          </w:rPr>
          <w:t>22</w:t>
        </w:r>
        <w:r>
          <w:rPr>
            <w:noProof/>
            <w:webHidden/>
          </w:rPr>
          <w:fldChar w:fldCharType="end"/>
        </w:r>
      </w:hyperlink>
    </w:p>
    <w:p w14:paraId="0C0EF12D" w14:textId="0B3B6459" w:rsidR="009E0B0E" w:rsidRDefault="009E0B0E">
      <w:pPr>
        <w:pStyle w:val="31"/>
        <w:rPr>
          <w:rFonts w:asciiTheme="minorHAnsi" w:eastAsiaTheme="minorEastAsia" w:hAnsiTheme="minorHAnsi" w:cstheme="minorBidi"/>
          <w:kern w:val="2"/>
          <w14:ligatures w14:val="standardContextual"/>
        </w:rPr>
      </w:pPr>
      <w:hyperlink w:anchor="_Toc222380333" w:history="1">
        <w:r w:rsidRPr="00821DF6">
          <w:rPr>
            <w:rStyle w:val="a3"/>
          </w:rPr>
          <w:t>Жители Центрального федерального округа (ЦФО) держат на счетах программы долгосрочных сбережений 175 млрд рублей, число участников программы по региону превысило 1,8 млн человек. Об этом сообщили ТАСС в пресс-службе ГУ Банка России по ЦФО.</w:t>
        </w:r>
        <w:r>
          <w:rPr>
            <w:webHidden/>
          </w:rPr>
          <w:tab/>
        </w:r>
        <w:r>
          <w:rPr>
            <w:webHidden/>
          </w:rPr>
          <w:fldChar w:fldCharType="begin"/>
        </w:r>
        <w:r>
          <w:rPr>
            <w:webHidden/>
          </w:rPr>
          <w:instrText xml:space="preserve"> PAGEREF _Toc222380333 \h </w:instrText>
        </w:r>
        <w:r>
          <w:rPr>
            <w:webHidden/>
          </w:rPr>
        </w:r>
        <w:r>
          <w:rPr>
            <w:webHidden/>
          </w:rPr>
          <w:fldChar w:fldCharType="separate"/>
        </w:r>
        <w:r>
          <w:rPr>
            <w:webHidden/>
          </w:rPr>
          <w:t>22</w:t>
        </w:r>
        <w:r>
          <w:rPr>
            <w:webHidden/>
          </w:rPr>
          <w:fldChar w:fldCharType="end"/>
        </w:r>
      </w:hyperlink>
    </w:p>
    <w:p w14:paraId="3446F023" w14:textId="1A43DF27"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34" w:history="1">
        <w:r w:rsidRPr="00821DF6">
          <w:rPr>
            <w:rStyle w:val="a3"/>
            <w:noProof/>
          </w:rPr>
          <w:t>NEWS.ru, 18.02.2026, Депутат Бессараб: снять деньги по ПДС можно будет через несколько лет</w:t>
        </w:r>
        <w:r>
          <w:rPr>
            <w:noProof/>
            <w:webHidden/>
          </w:rPr>
          <w:tab/>
        </w:r>
        <w:r>
          <w:rPr>
            <w:noProof/>
            <w:webHidden/>
          </w:rPr>
          <w:fldChar w:fldCharType="begin"/>
        </w:r>
        <w:r>
          <w:rPr>
            <w:noProof/>
            <w:webHidden/>
          </w:rPr>
          <w:instrText xml:space="preserve"> PAGEREF _Toc222380334 \h </w:instrText>
        </w:r>
        <w:r>
          <w:rPr>
            <w:noProof/>
            <w:webHidden/>
          </w:rPr>
        </w:r>
        <w:r>
          <w:rPr>
            <w:noProof/>
            <w:webHidden/>
          </w:rPr>
          <w:fldChar w:fldCharType="separate"/>
        </w:r>
        <w:r>
          <w:rPr>
            <w:noProof/>
            <w:webHidden/>
          </w:rPr>
          <w:t>23</w:t>
        </w:r>
        <w:r>
          <w:rPr>
            <w:noProof/>
            <w:webHidden/>
          </w:rPr>
          <w:fldChar w:fldCharType="end"/>
        </w:r>
      </w:hyperlink>
    </w:p>
    <w:p w14:paraId="20774FAD" w14:textId="521A1772" w:rsidR="009E0B0E" w:rsidRDefault="009E0B0E">
      <w:pPr>
        <w:pStyle w:val="31"/>
        <w:rPr>
          <w:rFonts w:asciiTheme="minorHAnsi" w:eastAsiaTheme="minorEastAsia" w:hAnsiTheme="minorHAnsi" w:cstheme="minorBidi"/>
          <w:kern w:val="2"/>
          <w14:ligatures w14:val="standardContextual"/>
        </w:rPr>
      </w:pPr>
      <w:hyperlink w:anchor="_Toc222380335" w:history="1">
        <w:r w:rsidRPr="00821DF6">
          <w:rPr>
            <w:rStyle w:val="a3"/>
          </w:rPr>
          <w:t>Снять деньги по программе долгосрочных сбережений без потери инвестдоходов можно будет через несколько лет, рассказала ОТР член комитета Госдумы по труду, социальной политике и делам ветеранов Светлана Бессараб. Она отметила, что по такому принципу работают некоммерческие пенсионные фонды.</w:t>
        </w:r>
        <w:r>
          <w:rPr>
            <w:webHidden/>
          </w:rPr>
          <w:tab/>
        </w:r>
        <w:r>
          <w:rPr>
            <w:webHidden/>
          </w:rPr>
          <w:fldChar w:fldCharType="begin"/>
        </w:r>
        <w:r>
          <w:rPr>
            <w:webHidden/>
          </w:rPr>
          <w:instrText xml:space="preserve"> PAGEREF _Toc222380335 \h </w:instrText>
        </w:r>
        <w:r>
          <w:rPr>
            <w:webHidden/>
          </w:rPr>
        </w:r>
        <w:r>
          <w:rPr>
            <w:webHidden/>
          </w:rPr>
          <w:fldChar w:fldCharType="separate"/>
        </w:r>
        <w:r>
          <w:rPr>
            <w:webHidden/>
          </w:rPr>
          <w:t>23</w:t>
        </w:r>
        <w:r>
          <w:rPr>
            <w:webHidden/>
          </w:rPr>
          <w:fldChar w:fldCharType="end"/>
        </w:r>
      </w:hyperlink>
    </w:p>
    <w:p w14:paraId="1C3854F9" w14:textId="47B3DF1F"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36" w:history="1">
        <w:r w:rsidRPr="00821DF6">
          <w:rPr>
            <w:rStyle w:val="a3"/>
            <w:noProof/>
          </w:rPr>
          <w:t>RT, 18.02.2026, Сиюминутная выгода: Минфин РФ скорректирует программу долгосрочных сбережений</w:t>
        </w:r>
        <w:r>
          <w:rPr>
            <w:noProof/>
            <w:webHidden/>
          </w:rPr>
          <w:tab/>
        </w:r>
        <w:r>
          <w:rPr>
            <w:noProof/>
            <w:webHidden/>
          </w:rPr>
          <w:fldChar w:fldCharType="begin"/>
        </w:r>
        <w:r>
          <w:rPr>
            <w:noProof/>
            <w:webHidden/>
          </w:rPr>
          <w:instrText xml:space="preserve"> PAGEREF _Toc222380336 \h </w:instrText>
        </w:r>
        <w:r>
          <w:rPr>
            <w:noProof/>
            <w:webHidden/>
          </w:rPr>
        </w:r>
        <w:r>
          <w:rPr>
            <w:noProof/>
            <w:webHidden/>
          </w:rPr>
          <w:fldChar w:fldCharType="separate"/>
        </w:r>
        <w:r>
          <w:rPr>
            <w:noProof/>
            <w:webHidden/>
          </w:rPr>
          <w:t>24</w:t>
        </w:r>
        <w:r>
          <w:rPr>
            <w:noProof/>
            <w:webHidden/>
          </w:rPr>
          <w:fldChar w:fldCharType="end"/>
        </w:r>
      </w:hyperlink>
    </w:p>
    <w:p w14:paraId="3820A5FB" w14:textId="04E8F12D" w:rsidR="009E0B0E" w:rsidRDefault="009E0B0E">
      <w:pPr>
        <w:pStyle w:val="31"/>
        <w:rPr>
          <w:rFonts w:asciiTheme="minorHAnsi" w:eastAsiaTheme="minorEastAsia" w:hAnsiTheme="minorHAnsi" w:cstheme="minorBidi"/>
          <w:kern w:val="2"/>
          <w14:ligatures w14:val="standardContextual"/>
        </w:rPr>
      </w:pPr>
      <w:hyperlink w:anchor="_Toc222380337" w:history="1">
        <w:r w:rsidRPr="00821DF6">
          <w:rPr>
            <w:rStyle w:val="a3"/>
          </w:rPr>
          <w:t>В России с 2024 года действует программа долгосрочных сбережений, призванная помочь гражданам копить с господдержкой. Однако уже в 2026-м в её правила могут быть внесены коррективы. Всё дело в неожиданном поведении некоторых пенсионеров, которые из-за возникшего правового противоречия забирали деньги вскоре после получения софинансирования от государства. Какой объём средств был выведен в 2025 году и что именно хочет изменить Минфин — в материале RT.</w:t>
        </w:r>
        <w:r>
          <w:rPr>
            <w:webHidden/>
          </w:rPr>
          <w:tab/>
        </w:r>
        <w:r>
          <w:rPr>
            <w:webHidden/>
          </w:rPr>
          <w:fldChar w:fldCharType="begin"/>
        </w:r>
        <w:r>
          <w:rPr>
            <w:webHidden/>
          </w:rPr>
          <w:instrText xml:space="preserve"> PAGEREF _Toc222380337 \h </w:instrText>
        </w:r>
        <w:r>
          <w:rPr>
            <w:webHidden/>
          </w:rPr>
        </w:r>
        <w:r>
          <w:rPr>
            <w:webHidden/>
          </w:rPr>
          <w:fldChar w:fldCharType="separate"/>
        </w:r>
        <w:r>
          <w:rPr>
            <w:webHidden/>
          </w:rPr>
          <w:t>24</w:t>
        </w:r>
        <w:r>
          <w:rPr>
            <w:webHidden/>
          </w:rPr>
          <w:fldChar w:fldCharType="end"/>
        </w:r>
      </w:hyperlink>
    </w:p>
    <w:p w14:paraId="578C59A3" w14:textId="7A727830"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38" w:history="1">
        <w:r w:rsidRPr="00821DF6">
          <w:rPr>
            <w:rStyle w:val="a3"/>
            <w:noProof/>
          </w:rPr>
          <w:t>Ваш Пенсионный Брокер, 18.02.2026, ФНС разъяснила, как получить вычет по долгосрочным сбережениям</w:t>
        </w:r>
        <w:r>
          <w:rPr>
            <w:noProof/>
            <w:webHidden/>
          </w:rPr>
          <w:tab/>
        </w:r>
        <w:r>
          <w:rPr>
            <w:noProof/>
            <w:webHidden/>
          </w:rPr>
          <w:fldChar w:fldCharType="begin"/>
        </w:r>
        <w:r>
          <w:rPr>
            <w:noProof/>
            <w:webHidden/>
          </w:rPr>
          <w:instrText xml:space="preserve"> PAGEREF _Toc222380338 \h </w:instrText>
        </w:r>
        <w:r>
          <w:rPr>
            <w:noProof/>
            <w:webHidden/>
          </w:rPr>
        </w:r>
        <w:r>
          <w:rPr>
            <w:noProof/>
            <w:webHidden/>
          </w:rPr>
          <w:fldChar w:fldCharType="separate"/>
        </w:r>
        <w:r>
          <w:rPr>
            <w:noProof/>
            <w:webHidden/>
          </w:rPr>
          <w:t>25</w:t>
        </w:r>
        <w:r>
          <w:rPr>
            <w:noProof/>
            <w:webHidden/>
          </w:rPr>
          <w:fldChar w:fldCharType="end"/>
        </w:r>
      </w:hyperlink>
    </w:p>
    <w:p w14:paraId="3E5798AF" w14:textId="1EFFECEA" w:rsidR="009E0B0E" w:rsidRDefault="009E0B0E">
      <w:pPr>
        <w:pStyle w:val="31"/>
        <w:rPr>
          <w:rFonts w:asciiTheme="minorHAnsi" w:eastAsiaTheme="minorEastAsia" w:hAnsiTheme="minorHAnsi" w:cstheme="minorBidi"/>
          <w:kern w:val="2"/>
          <w14:ligatures w14:val="standardContextual"/>
        </w:rPr>
      </w:pPr>
      <w:hyperlink w:anchor="_Toc222380339" w:history="1">
        <w:r w:rsidRPr="00821DF6">
          <w:rPr>
            <w:rStyle w:val="a3"/>
          </w:rPr>
          <w:t>Управление Федеральной налоговой службы по Республике Татарстан опубликовало разъяснения по применению обновленных правил получения налогового вычета по договорам долгосрочных сбережений, заключенным с негосударственными пенсионными фондами (НПФ).</w:t>
        </w:r>
        <w:r>
          <w:rPr>
            <w:webHidden/>
          </w:rPr>
          <w:tab/>
        </w:r>
        <w:r>
          <w:rPr>
            <w:webHidden/>
          </w:rPr>
          <w:fldChar w:fldCharType="begin"/>
        </w:r>
        <w:r>
          <w:rPr>
            <w:webHidden/>
          </w:rPr>
          <w:instrText xml:space="preserve"> PAGEREF _Toc222380339 \h </w:instrText>
        </w:r>
        <w:r>
          <w:rPr>
            <w:webHidden/>
          </w:rPr>
        </w:r>
        <w:r>
          <w:rPr>
            <w:webHidden/>
          </w:rPr>
          <w:fldChar w:fldCharType="separate"/>
        </w:r>
        <w:r>
          <w:rPr>
            <w:webHidden/>
          </w:rPr>
          <w:t>25</w:t>
        </w:r>
        <w:r>
          <w:rPr>
            <w:webHidden/>
          </w:rPr>
          <w:fldChar w:fldCharType="end"/>
        </w:r>
      </w:hyperlink>
    </w:p>
    <w:p w14:paraId="41893C94" w14:textId="709271A3"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40" w:history="1">
        <w:r w:rsidRPr="00821DF6">
          <w:rPr>
            <w:rStyle w:val="a3"/>
            <w:noProof/>
          </w:rPr>
          <w:t>Ваш Пенсионный Брокер, 18.02.2026, Как получить до 36 тысяч рублей ежегодно от государства?</w:t>
        </w:r>
        <w:r>
          <w:rPr>
            <w:noProof/>
            <w:webHidden/>
          </w:rPr>
          <w:tab/>
        </w:r>
        <w:r>
          <w:rPr>
            <w:noProof/>
            <w:webHidden/>
          </w:rPr>
          <w:fldChar w:fldCharType="begin"/>
        </w:r>
        <w:r>
          <w:rPr>
            <w:noProof/>
            <w:webHidden/>
          </w:rPr>
          <w:instrText xml:space="preserve"> PAGEREF _Toc222380340 \h </w:instrText>
        </w:r>
        <w:r>
          <w:rPr>
            <w:noProof/>
            <w:webHidden/>
          </w:rPr>
        </w:r>
        <w:r>
          <w:rPr>
            <w:noProof/>
            <w:webHidden/>
          </w:rPr>
          <w:fldChar w:fldCharType="separate"/>
        </w:r>
        <w:r>
          <w:rPr>
            <w:noProof/>
            <w:webHidden/>
          </w:rPr>
          <w:t>26</w:t>
        </w:r>
        <w:r>
          <w:rPr>
            <w:noProof/>
            <w:webHidden/>
          </w:rPr>
          <w:fldChar w:fldCharType="end"/>
        </w:r>
      </w:hyperlink>
    </w:p>
    <w:p w14:paraId="48E5CCC9" w14:textId="524BAF12" w:rsidR="009E0B0E" w:rsidRDefault="009E0B0E">
      <w:pPr>
        <w:pStyle w:val="31"/>
        <w:rPr>
          <w:rFonts w:asciiTheme="minorHAnsi" w:eastAsiaTheme="minorEastAsia" w:hAnsiTheme="minorHAnsi" w:cstheme="minorBidi"/>
          <w:kern w:val="2"/>
          <w14:ligatures w14:val="standardContextual"/>
        </w:rPr>
      </w:pPr>
      <w:hyperlink w:anchor="_Toc222380341" w:history="1">
        <w:r w:rsidRPr="00821DF6">
          <w:rPr>
            <w:rStyle w:val="a3"/>
          </w:rPr>
          <w:t>Программа долгосрочных сбережений представляет собой добровольную накопительную систему, предназначенную для всех желающих обеспечить себе финансовую стабильность в будущем. Участники ПДС получают дополнительные выплаты от государства, формируя собственный капитал на случай сложных жизненных ситуаций либо создавая запас для дополнительного дохода в старости.</w:t>
        </w:r>
        <w:r>
          <w:rPr>
            <w:webHidden/>
          </w:rPr>
          <w:tab/>
        </w:r>
        <w:r>
          <w:rPr>
            <w:webHidden/>
          </w:rPr>
          <w:fldChar w:fldCharType="begin"/>
        </w:r>
        <w:r>
          <w:rPr>
            <w:webHidden/>
          </w:rPr>
          <w:instrText xml:space="preserve"> PAGEREF _Toc222380341 \h </w:instrText>
        </w:r>
        <w:r>
          <w:rPr>
            <w:webHidden/>
          </w:rPr>
        </w:r>
        <w:r>
          <w:rPr>
            <w:webHidden/>
          </w:rPr>
          <w:fldChar w:fldCharType="separate"/>
        </w:r>
        <w:r>
          <w:rPr>
            <w:webHidden/>
          </w:rPr>
          <w:t>26</w:t>
        </w:r>
        <w:r>
          <w:rPr>
            <w:webHidden/>
          </w:rPr>
          <w:fldChar w:fldCharType="end"/>
        </w:r>
      </w:hyperlink>
    </w:p>
    <w:p w14:paraId="32EE1EC0" w14:textId="5102918D"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42" w:history="1">
        <w:r w:rsidRPr="00821DF6">
          <w:rPr>
            <w:rStyle w:val="a3"/>
            <w:noProof/>
          </w:rPr>
          <w:t>Конкурент, 18.02.2026, Дожились. Пенсионеров могут лишить доступа к накоплениям</w:t>
        </w:r>
        <w:r>
          <w:rPr>
            <w:noProof/>
            <w:webHidden/>
          </w:rPr>
          <w:tab/>
        </w:r>
        <w:r>
          <w:rPr>
            <w:noProof/>
            <w:webHidden/>
          </w:rPr>
          <w:fldChar w:fldCharType="begin"/>
        </w:r>
        <w:r>
          <w:rPr>
            <w:noProof/>
            <w:webHidden/>
          </w:rPr>
          <w:instrText xml:space="preserve"> PAGEREF _Toc222380342 \h </w:instrText>
        </w:r>
        <w:r>
          <w:rPr>
            <w:noProof/>
            <w:webHidden/>
          </w:rPr>
        </w:r>
        <w:r>
          <w:rPr>
            <w:noProof/>
            <w:webHidden/>
          </w:rPr>
          <w:fldChar w:fldCharType="separate"/>
        </w:r>
        <w:r>
          <w:rPr>
            <w:noProof/>
            <w:webHidden/>
          </w:rPr>
          <w:t>28</w:t>
        </w:r>
        <w:r>
          <w:rPr>
            <w:noProof/>
            <w:webHidden/>
          </w:rPr>
          <w:fldChar w:fldCharType="end"/>
        </w:r>
      </w:hyperlink>
    </w:p>
    <w:p w14:paraId="741E7C85" w14:textId="318C160B" w:rsidR="009E0B0E" w:rsidRDefault="009E0B0E">
      <w:pPr>
        <w:pStyle w:val="31"/>
        <w:rPr>
          <w:rFonts w:asciiTheme="minorHAnsi" w:eastAsiaTheme="minorEastAsia" w:hAnsiTheme="minorHAnsi" w:cstheme="minorBidi"/>
          <w:kern w:val="2"/>
          <w14:ligatures w14:val="standardContextual"/>
        </w:rPr>
      </w:pPr>
      <w:hyperlink w:anchor="_Toc222380343" w:history="1">
        <w:r w:rsidRPr="00821DF6">
          <w:rPr>
            <w:rStyle w:val="a3"/>
          </w:rPr>
          <w:t>Министерство финансов РФ выступило с инициативой ограничить возможность немедленного вывода средств, полученных в рамках государственной программы софинансирования долгосрочных сбережений (ПДС). Ведомство также рассматривает увеличение срока, в течение которого эти деньги будут недоступны.</w:t>
        </w:r>
        <w:r>
          <w:rPr>
            <w:webHidden/>
          </w:rPr>
          <w:tab/>
        </w:r>
        <w:r>
          <w:rPr>
            <w:webHidden/>
          </w:rPr>
          <w:fldChar w:fldCharType="begin"/>
        </w:r>
        <w:r>
          <w:rPr>
            <w:webHidden/>
          </w:rPr>
          <w:instrText xml:space="preserve"> PAGEREF _Toc222380343 \h </w:instrText>
        </w:r>
        <w:r>
          <w:rPr>
            <w:webHidden/>
          </w:rPr>
        </w:r>
        <w:r>
          <w:rPr>
            <w:webHidden/>
          </w:rPr>
          <w:fldChar w:fldCharType="separate"/>
        </w:r>
        <w:r>
          <w:rPr>
            <w:webHidden/>
          </w:rPr>
          <w:t>28</w:t>
        </w:r>
        <w:r>
          <w:rPr>
            <w:webHidden/>
          </w:rPr>
          <w:fldChar w:fldCharType="end"/>
        </w:r>
      </w:hyperlink>
    </w:p>
    <w:p w14:paraId="509BF32D" w14:textId="545DE2B7"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44" w:history="1">
        <w:r w:rsidRPr="00821DF6">
          <w:rPr>
            <w:rStyle w:val="a3"/>
            <w:noProof/>
          </w:rPr>
          <w:t>ГТРК Чувашия, 18.02.2026, Каждый 8 житель Чувашии участвует в Программе долгосрочных сбережений</w:t>
        </w:r>
        <w:r>
          <w:rPr>
            <w:noProof/>
            <w:webHidden/>
          </w:rPr>
          <w:tab/>
        </w:r>
        <w:r>
          <w:rPr>
            <w:noProof/>
            <w:webHidden/>
          </w:rPr>
          <w:fldChar w:fldCharType="begin"/>
        </w:r>
        <w:r>
          <w:rPr>
            <w:noProof/>
            <w:webHidden/>
          </w:rPr>
          <w:instrText xml:space="preserve"> PAGEREF _Toc222380344 \h </w:instrText>
        </w:r>
        <w:r>
          <w:rPr>
            <w:noProof/>
            <w:webHidden/>
          </w:rPr>
        </w:r>
        <w:r>
          <w:rPr>
            <w:noProof/>
            <w:webHidden/>
          </w:rPr>
          <w:fldChar w:fldCharType="separate"/>
        </w:r>
        <w:r>
          <w:rPr>
            <w:noProof/>
            <w:webHidden/>
          </w:rPr>
          <w:t>28</w:t>
        </w:r>
        <w:r>
          <w:rPr>
            <w:noProof/>
            <w:webHidden/>
          </w:rPr>
          <w:fldChar w:fldCharType="end"/>
        </w:r>
      </w:hyperlink>
    </w:p>
    <w:p w14:paraId="09CCDEBE" w14:textId="1E4A5FFD" w:rsidR="009E0B0E" w:rsidRDefault="009E0B0E">
      <w:pPr>
        <w:pStyle w:val="31"/>
        <w:rPr>
          <w:rFonts w:asciiTheme="minorHAnsi" w:eastAsiaTheme="minorEastAsia" w:hAnsiTheme="minorHAnsi" w:cstheme="minorBidi"/>
          <w:kern w:val="2"/>
          <w14:ligatures w14:val="standardContextual"/>
        </w:rPr>
      </w:pPr>
      <w:hyperlink w:anchor="_Toc222380345" w:history="1">
        <w:r w:rsidRPr="00821DF6">
          <w:rPr>
            <w:rStyle w:val="a3"/>
          </w:rPr>
          <w:t>За два года реализации Программы долгосрочных сбережений жители Чувашии заключили почти 142 тысячи договоров на общую сумму свыше 6,9 млрд рублей. О своем финансовом благополучии в будущем позаботился каждый восьмой житель нашей республики — это самый высокий показатель в ПФО.</w:t>
        </w:r>
        <w:r>
          <w:rPr>
            <w:webHidden/>
          </w:rPr>
          <w:tab/>
        </w:r>
        <w:r>
          <w:rPr>
            <w:webHidden/>
          </w:rPr>
          <w:fldChar w:fldCharType="begin"/>
        </w:r>
        <w:r>
          <w:rPr>
            <w:webHidden/>
          </w:rPr>
          <w:instrText xml:space="preserve"> PAGEREF _Toc222380345 \h </w:instrText>
        </w:r>
        <w:r>
          <w:rPr>
            <w:webHidden/>
          </w:rPr>
        </w:r>
        <w:r>
          <w:rPr>
            <w:webHidden/>
          </w:rPr>
          <w:fldChar w:fldCharType="separate"/>
        </w:r>
        <w:r>
          <w:rPr>
            <w:webHidden/>
          </w:rPr>
          <w:t>28</w:t>
        </w:r>
        <w:r>
          <w:rPr>
            <w:webHidden/>
          </w:rPr>
          <w:fldChar w:fldCharType="end"/>
        </w:r>
      </w:hyperlink>
    </w:p>
    <w:p w14:paraId="1389C6E3" w14:textId="15A1361C"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46" w:history="1">
        <w:r w:rsidRPr="00821DF6">
          <w:rPr>
            <w:rStyle w:val="a3"/>
            <w:noProof/>
          </w:rPr>
          <w:t>КП - Херсонщина, 18.02.2026, Сберечь и приумножить: Жители Херсонщины вложили в свое будущее 44 млн рублей</w:t>
        </w:r>
        <w:r>
          <w:rPr>
            <w:noProof/>
            <w:webHidden/>
          </w:rPr>
          <w:tab/>
        </w:r>
        <w:r>
          <w:rPr>
            <w:noProof/>
            <w:webHidden/>
          </w:rPr>
          <w:fldChar w:fldCharType="begin"/>
        </w:r>
        <w:r>
          <w:rPr>
            <w:noProof/>
            <w:webHidden/>
          </w:rPr>
          <w:instrText xml:space="preserve"> PAGEREF _Toc222380346 \h </w:instrText>
        </w:r>
        <w:r>
          <w:rPr>
            <w:noProof/>
            <w:webHidden/>
          </w:rPr>
        </w:r>
        <w:r>
          <w:rPr>
            <w:noProof/>
            <w:webHidden/>
          </w:rPr>
          <w:fldChar w:fldCharType="separate"/>
        </w:r>
        <w:r>
          <w:rPr>
            <w:noProof/>
            <w:webHidden/>
          </w:rPr>
          <w:t>29</w:t>
        </w:r>
        <w:r>
          <w:rPr>
            <w:noProof/>
            <w:webHidden/>
          </w:rPr>
          <w:fldChar w:fldCharType="end"/>
        </w:r>
      </w:hyperlink>
    </w:p>
    <w:p w14:paraId="279FBE38" w14:textId="3BD53332" w:rsidR="009E0B0E" w:rsidRDefault="009E0B0E">
      <w:pPr>
        <w:pStyle w:val="31"/>
        <w:rPr>
          <w:rFonts w:asciiTheme="minorHAnsi" w:eastAsiaTheme="minorEastAsia" w:hAnsiTheme="minorHAnsi" w:cstheme="minorBidi"/>
          <w:kern w:val="2"/>
          <w14:ligatures w14:val="standardContextual"/>
        </w:rPr>
      </w:pPr>
      <w:hyperlink w:anchor="_Toc222380347" w:history="1">
        <w:r w:rsidRPr="00821DF6">
          <w:rPr>
            <w:rStyle w:val="a3"/>
          </w:rPr>
          <w:t>Интерес жителей Херсонской области к возможности накопить добавку к пенсии вырос в четыре раза. И это всего за один год! Такие данные обнародовал Банк России. Средняя сумма взносов по договорам программы долгосрочных сбережений составила 33 тысячи рублей, а совокупный объем накоплений достиг 44 миллионов рублей. Всего в Херсонской области в прошлом году было заключено 1,3 тысячи таких договоров.</w:t>
        </w:r>
        <w:r>
          <w:rPr>
            <w:webHidden/>
          </w:rPr>
          <w:tab/>
        </w:r>
        <w:r>
          <w:rPr>
            <w:webHidden/>
          </w:rPr>
          <w:fldChar w:fldCharType="begin"/>
        </w:r>
        <w:r>
          <w:rPr>
            <w:webHidden/>
          </w:rPr>
          <w:instrText xml:space="preserve"> PAGEREF _Toc222380347 \h </w:instrText>
        </w:r>
        <w:r>
          <w:rPr>
            <w:webHidden/>
          </w:rPr>
        </w:r>
        <w:r>
          <w:rPr>
            <w:webHidden/>
          </w:rPr>
          <w:fldChar w:fldCharType="separate"/>
        </w:r>
        <w:r>
          <w:rPr>
            <w:webHidden/>
          </w:rPr>
          <w:t>29</w:t>
        </w:r>
        <w:r>
          <w:rPr>
            <w:webHidden/>
          </w:rPr>
          <w:fldChar w:fldCharType="end"/>
        </w:r>
      </w:hyperlink>
    </w:p>
    <w:p w14:paraId="36513652" w14:textId="6187BDD2"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48" w:history="1">
        <w:r w:rsidRPr="00821DF6">
          <w:rPr>
            <w:rStyle w:val="a3"/>
            <w:noProof/>
          </w:rPr>
          <w:t>ТАСС, 18.02.2026, Свыше 15,5 тыс. жителей ЛНР внесли в ПДС более 520 млн рублей</w:t>
        </w:r>
        <w:r>
          <w:rPr>
            <w:noProof/>
            <w:webHidden/>
          </w:rPr>
          <w:tab/>
        </w:r>
        <w:r>
          <w:rPr>
            <w:noProof/>
            <w:webHidden/>
          </w:rPr>
          <w:fldChar w:fldCharType="begin"/>
        </w:r>
        <w:r>
          <w:rPr>
            <w:noProof/>
            <w:webHidden/>
          </w:rPr>
          <w:instrText xml:space="preserve"> PAGEREF _Toc222380348 \h </w:instrText>
        </w:r>
        <w:r>
          <w:rPr>
            <w:noProof/>
            <w:webHidden/>
          </w:rPr>
        </w:r>
        <w:r>
          <w:rPr>
            <w:noProof/>
            <w:webHidden/>
          </w:rPr>
          <w:fldChar w:fldCharType="separate"/>
        </w:r>
        <w:r>
          <w:rPr>
            <w:noProof/>
            <w:webHidden/>
          </w:rPr>
          <w:t>30</w:t>
        </w:r>
        <w:r>
          <w:rPr>
            <w:noProof/>
            <w:webHidden/>
          </w:rPr>
          <w:fldChar w:fldCharType="end"/>
        </w:r>
      </w:hyperlink>
    </w:p>
    <w:p w14:paraId="649DC8AB" w14:textId="608CF7F2" w:rsidR="009E0B0E" w:rsidRDefault="009E0B0E">
      <w:pPr>
        <w:pStyle w:val="31"/>
        <w:rPr>
          <w:rFonts w:asciiTheme="minorHAnsi" w:eastAsiaTheme="minorEastAsia" w:hAnsiTheme="minorHAnsi" w:cstheme="minorBidi"/>
          <w:kern w:val="2"/>
          <w14:ligatures w14:val="standardContextual"/>
        </w:rPr>
      </w:pPr>
      <w:hyperlink w:anchor="_Toc222380349" w:history="1">
        <w:r w:rsidRPr="00821DF6">
          <w:rPr>
            <w:rStyle w:val="a3"/>
          </w:rPr>
          <w:t>Более 15,5 тыс. жителей Луганской Народной Республики стали участниками программы долгосрочных сбережений (ПДС) за два года, они внесли в ПДС более 520 млн рублей. Об этом журналистам сообщили в отделении по ЛНР Южного главного управления Банка России.</w:t>
        </w:r>
        <w:r>
          <w:rPr>
            <w:webHidden/>
          </w:rPr>
          <w:tab/>
        </w:r>
        <w:r>
          <w:rPr>
            <w:webHidden/>
          </w:rPr>
          <w:fldChar w:fldCharType="begin"/>
        </w:r>
        <w:r>
          <w:rPr>
            <w:webHidden/>
          </w:rPr>
          <w:instrText xml:space="preserve"> PAGEREF _Toc222380349 \h </w:instrText>
        </w:r>
        <w:r>
          <w:rPr>
            <w:webHidden/>
          </w:rPr>
        </w:r>
        <w:r>
          <w:rPr>
            <w:webHidden/>
          </w:rPr>
          <w:fldChar w:fldCharType="separate"/>
        </w:r>
        <w:r>
          <w:rPr>
            <w:webHidden/>
          </w:rPr>
          <w:t>30</w:t>
        </w:r>
        <w:r>
          <w:rPr>
            <w:webHidden/>
          </w:rPr>
          <w:fldChar w:fldCharType="end"/>
        </w:r>
      </w:hyperlink>
    </w:p>
    <w:p w14:paraId="14284302" w14:textId="719A274C"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50" w:history="1">
        <w:r w:rsidRPr="00821DF6">
          <w:rPr>
            <w:rStyle w:val="a3"/>
            <w:noProof/>
          </w:rPr>
          <w:t>Луганский информационный центр, 18.02.2026, Жители ЛНР заключили почти 15,5 тыс. договоров ПДС с начала действия программы</w:t>
        </w:r>
        <w:r>
          <w:rPr>
            <w:noProof/>
            <w:webHidden/>
          </w:rPr>
          <w:tab/>
        </w:r>
        <w:r>
          <w:rPr>
            <w:noProof/>
            <w:webHidden/>
          </w:rPr>
          <w:fldChar w:fldCharType="begin"/>
        </w:r>
        <w:r>
          <w:rPr>
            <w:noProof/>
            <w:webHidden/>
          </w:rPr>
          <w:instrText xml:space="preserve"> PAGEREF _Toc222380350 \h </w:instrText>
        </w:r>
        <w:r>
          <w:rPr>
            <w:noProof/>
            <w:webHidden/>
          </w:rPr>
        </w:r>
        <w:r>
          <w:rPr>
            <w:noProof/>
            <w:webHidden/>
          </w:rPr>
          <w:fldChar w:fldCharType="separate"/>
        </w:r>
        <w:r>
          <w:rPr>
            <w:noProof/>
            <w:webHidden/>
          </w:rPr>
          <w:t>31</w:t>
        </w:r>
        <w:r>
          <w:rPr>
            <w:noProof/>
            <w:webHidden/>
          </w:rPr>
          <w:fldChar w:fldCharType="end"/>
        </w:r>
      </w:hyperlink>
    </w:p>
    <w:p w14:paraId="679F5301" w14:textId="2B4E5628" w:rsidR="009E0B0E" w:rsidRDefault="009E0B0E">
      <w:pPr>
        <w:pStyle w:val="31"/>
        <w:rPr>
          <w:rFonts w:asciiTheme="minorHAnsi" w:eastAsiaTheme="minorEastAsia" w:hAnsiTheme="minorHAnsi" w:cstheme="minorBidi"/>
          <w:kern w:val="2"/>
          <w14:ligatures w14:val="standardContextual"/>
        </w:rPr>
      </w:pPr>
      <w:hyperlink w:anchor="_Toc222380351" w:history="1">
        <w:r w:rsidRPr="00821DF6">
          <w:rPr>
            <w:rStyle w:val="a3"/>
          </w:rPr>
          <w:t>Жители ЛНР с момента запуска Программы долгосрочных сбережений (ПДС) заключили почти 15,5 тыс. договоров на общую сумму более 523 млн руб. Об этом ЛИЦ сообщили в Отделении по ЛНР Южного главного управления Банка России.</w:t>
        </w:r>
        <w:r>
          <w:rPr>
            <w:webHidden/>
          </w:rPr>
          <w:tab/>
        </w:r>
        <w:r>
          <w:rPr>
            <w:webHidden/>
          </w:rPr>
          <w:fldChar w:fldCharType="begin"/>
        </w:r>
        <w:r>
          <w:rPr>
            <w:webHidden/>
          </w:rPr>
          <w:instrText xml:space="preserve"> PAGEREF _Toc222380351 \h </w:instrText>
        </w:r>
        <w:r>
          <w:rPr>
            <w:webHidden/>
          </w:rPr>
        </w:r>
        <w:r>
          <w:rPr>
            <w:webHidden/>
          </w:rPr>
          <w:fldChar w:fldCharType="separate"/>
        </w:r>
        <w:r>
          <w:rPr>
            <w:webHidden/>
          </w:rPr>
          <w:t>31</w:t>
        </w:r>
        <w:r>
          <w:rPr>
            <w:webHidden/>
          </w:rPr>
          <w:fldChar w:fldCharType="end"/>
        </w:r>
      </w:hyperlink>
    </w:p>
    <w:p w14:paraId="66403ECD" w14:textId="3A540B18"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52" w:history="1">
        <w:r w:rsidRPr="00821DF6">
          <w:rPr>
            <w:rStyle w:val="a3"/>
            <w:noProof/>
          </w:rPr>
          <w:t>vtomske.ru, 18.02.2026, Финансовая подушка для томичей: как подготовиться к пенсии уже сегодня?</w:t>
        </w:r>
        <w:r>
          <w:rPr>
            <w:noProof/>
            <w:webHidden/>
          </w:rPr>
          <w:tab/>
        </w:r>
        <w:r>
          <w:rPr>
            <w:noProof/>
            <w:webHidden/>
          </w:rPr>
          <w:fldChar w:fldCharType="begin"/>
        </w:r>
        <w:r>
          <w:rPr>
            <w:noProof/>
            <w:webHidden/>
          </w:rPr>
          <w:instrText xml:space="preserve"> PAGEREF _Toc222380352 \h </w:instrText>
        </w:r>
        <w:r>
          <w:rPr>
            <w:noProof/>
            <w:webHidden/>
          </w:rPr>
        </w:r>
        <w:r>
          <w:rPr>
            <w:noProof/>
            <w:webHidden/>
          </w:rPr>
          <w:fldChar w:fldCharType="separate"/>
        </w:r>
        <w:r>
          <w:rPr>
            <w:noProof/>
            <w:webHidden/>
          </w:rPr>
          <w:t>32</w:t>
        </w:r>
        <w:r>
          <w:rPr>
            <w:noProof/>
            <w:webHidden/>
          </w:rPr>
          <w:fldChar w:fldCharType="end"/>
        </w:r>
      </w:hyperlink>
    </w:p>
    <w:p w14:paraId="49B63ED3" w14:textId="6C34E2DD" w:rsidR="009E0B0E" w:rsidRDefault="009E0B0E">
      <w:pPr>
        <w:pStyle w:val="31"/>
        <w:rPr>
          <w:rFonts w:asciiTheme="minorHAnsi" w:eastAsiaTheme="minorEastAsia" w:hAnsiTheme="minorHAnsi" w:cstheme="minorBidi"/>
          <w:kern w:val="2"/>
          <w14:ligatures w14:val="standardContextual"/>
        </w:rPr>
      </w:pPr>
      <w:hyperlink w:anchor="_Toc222380353" w:history="1">
        <w:r w:rsidRPr="00821DF6">
          <w:rPr>
            <w:rStyle w:val="a3"/>
          </w:rPr>
          <w:t>Как комфортно жить на пенсии, сохраняя привычный уровень жизни, и без финансовых забот? Этот вопрос рано или поздно встает перед каждым. Чтобы не зависеть от государства и помощи близких, важно заранее подготовиться к этому этапу. Эксперты НПФ «Будущее» рассказали, какие меры помогут увеличить будущую пенсию и создать надежный финансовый резерв.</w:t>
        </w:r>
        <w:r>
          <w:rPr>
            <w:webHidden/>
          </w:rPr>
          <w:tab/>
        </w:r>
        <w:r>
          <w:rPr>
            <w:webHidden/>
          </w:rPr>
          <w:fldChar w:fldCharType="begin"/>
        </w:r>
        <w:r>
          <w:rPr>
            <w:webHidden/>
          </w:rPr>
          <w:instrText xml:space="preserve"> PAGEREF _Toc222380353 \h </w:instrText>
        </w:r>
        <w:r>
          <w:rPr>
            <w:webHidden/>
          </w:rPr>
        </w:r>
        <w:r>
          <w:rPr>
            <w:webHidden/>
          </w:rPr>
          <w:fldChar w:fldCharType="separate"/>
        </w:r>
        <w:r>
          <w:rPr>
            <w:webHidden/>
          </w:rPr>
          <w:t>32</w:t>
        </w:r>
        <w:r>
          <w:rPr>
            <w:webHidden/>
          </w:rPr>
          <w:fldChar w:fldCharType="end"/>
        </w:r>
      </w:hyperlink>
    </w:p>
    <w:p w14:paraId="6F950442" w14:textId="6EA04897" w:rsidR="009E0B0E" w:rsidRDefault="009E0B0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380354" w:history="1">
        <w:r w:rsidRPr="00821DF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_Toc222380354 \h </w:instrText>
        </w:r>
        <w:r>
          <w:rPr>
            <w:noProof/>
            <w:webHidden/>
          </w:rPr>
        </w:r>
        <w:r>
          <w:rPr>
            <w:noProof/>
            <w:webHidden/>
          </w:rPr>
          <w:fldChar w:fldCharType="separate"/>
        </w:r>
        <w:r>
          <w:rPr>
            <w:noProof/>
            <w:webHidden/>
          </w:rPr>
          <w:t>34</w:t>
        </w:r>
        <w:r>
          <w:rPr>
            <w:noProof/>
            <w:webHidden/>
          </w:rPr>
          <w:fldChar w:fldCharType="end"/>
        </w:r>
      </w:hyperlink>
    </w:p>
    <w:p w14:paraId="42D14F7D" w14:textId="279F9060"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55" w:history="1">
        <w:r w:rsidRPr="00821DF6">
          <w:rPr>
            <w:rStyle w:val="a3"/>
            <w:noProof/>
          </w:rPr>
          <w:t>ПРАЙМ, 18.02.2026, Социальные выплаты в РФ должны производиться своевременно, все для этого есть - Путин</w:t>
        </w:r>
        <w:r>
          <w:rPr>
            <w:noProof/>
            <w:webHidden/>
          </w:rPr>
          <w:tab/>
        </w:r>
        <w:r>
          <w:rPr>
            <w:noProof/>
            <w:webHidden/>
          </w:rPr>
          <w:fldChar w:fldCharType="begin"/>
        </w:r>
        <w:r>
          <w:rPr>
            <w:noProof/>
            <w:webHidden/>
          </w:rPr>
          <w:instrText xml:space="preserve"> PAGEREF _Toc222380355 \h </w:instrText>
        </w:r>
        <w:r>
          <w:rPr>
            <w:noProof/>
            <w:webHidden/>
          </w:rPr>
        </w:r>
        <w:r>
          <w:rPr>
            <w:noProof/>
            <w:webHidden/>
          </w:rPr>
          <w:fldChar w:fldCharType="separate"/>
        </w:r>
        <w:r>
          <w:rPr>
            <w:noProof/>
            <w:webHidden/>
          </w:rPr>
          <w:t>34</w:t>
        </w:r>
        <w:r>
          <w:rPr>
            <w:noProof/>
            <w:webHidden/>
          </w:rPr>
          <w:fldChar w:fldCharType="end"/>
        </w:r>
      </w:hyperlink>
    </w:p>
    <w:p w14:paraId="72E33D75" w14:textId="575F47BB" w:rsidR="009E0B0E" w:rsidRDefault="009E0B0E">
      <w:pPr>
        <w:pStyle w:val="31"/>
        <w:rPr>
          <w:rFonts w:asciiTheme="minorHAnsi" w:eastAsiaTheme="minorEastAsia" w:hAnsiTheme="minorHAnsi" w:cstheme="minorBidi"/>
          <w:kern w:val="2"/>
          <w14:ligatures w14:val="standardContextual"/>
        </w:rPr>
      </w:pPr>
      <w:hyperlink w:anchor="_Toc222380356" w:history="1">
        <w:r w:rsidRPr="00821DF6">
          <w:rPr>
            <w:rStyle w:val="a3"/>
          </w:rPr>
          <w:t>Социальные выплаты в России должны производиться своевременно, все для этого есть, главное не нарушать дисциплину, заявил президент РФ Владимир Путин.</w:t>
        </w:r>
        <w:r>
          <w:rPr>
            <w:webHidden/>
          </w:rPr>
          <w:tab/>
        </w:r>
        <w:r>
          <w:rPr>
            <w:webHidden/>
          </w:rPr>
          <w:fldChar w:fldCharType="begin"/>
        </w:r>
        <w:r>
          <w:rPr>
            <w:webHidden/>
          </w:rPr>
          <w:instrText xml:space="preserve"> PAGEREF _Toc222380356 \h </w:instrText>
        </w:r>
        <w:r>
          <w:rPr>
            <w:webHidden/>
          </w:rPr>
        </w:r>
        <w:r>
          <w:rPr>
            <w:webHidden/>
          </w:rPr>
          <w:fldChar w:fldCharType="separate"/>
        </w:r>
        <w:r>
          <w:rPr>
            <w:webHidden/>
          </w:rPr>
          <w:t>34</w:t>
        </w:r>
        <w:r>
          <w:rPr>
            <w:webHidden/>
          </w:rPr>
          <w:fldChar w:fldCharType="end"/>
        </w:r>
      </w:hyperlink>
    </w:p>
    <w:p w14:paraId="12B9A38C" w14:textId="75E10DE2"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57" w:history="1">
        <w:r w:rsidRPr="00821DF6">
          <w:rPr>
            <w:rStyle w:val="a3"/>
            <w:noProof/>
          </w:rPr>
          <w:t>РИА Новости, 18.02.2026, Совфед одобрил закон о расширении учета страховых прав граждан через Соцфонд</w:t>
        </w:r>
        <w:r>
          <w:rPr>
            <w:noProof/>
            <w:webHidden/>
          </w:rPr>
          <w:tab/>
        </w:r>
        <w:r>
          <w:rPr>
            <w:noProof/>
            <w:webHidden/>
          </w:rPr>
          <w:fldChar w:fldCharType="begin"/>
        </w:r>
        <w:r>
          <w:rPr>
            <w:noProof/>
            <w:webHidden/>
          </w:rPr>
          <w:instrText xml:space="preserve"> PAGEREF _Toc222380357 \h </w:instrText>
        </w:r>
        <w:r>
          <w:rPr>
            <w:noProof/>
            <w:webHidden/>
          </w:rPr>
        </w:r>
        <w:r>
          <w:rPr>
            <w:noProof/>
            <w:webHidden/>
          </w:rPr>
          <w:fldChar w:fldCharType="separate"/>
        </w:r>
        <w:r>
          <w:rPr>
            <w:noProof/>
            <w:webHidden/>
          </w:rPr>
          <w:t>35</w:t>
        </w:r>
        <w:r>
          <w:rPr>
            <w:noProof/>
            <w:webHidden/>
          </w:rPr>
          <w:fldChar w:fldCharType="end"/>
        </w:r>
      </w:hyperlink>
    </w:p>
    <w:p w14:paraId="76C3F704" w14:textId="53320D31" w:rsidR="009E0B0E" w:rsidRDefault="009E0B0E">
      <w:pPr>
        <w:pStyle w:val="31"/>
        <w:rPr>
          <w:rFonts w:asciiTheme="minorHAnsi" w:eastAsiaTheme="minorEastAsia" w:hAnsiTheme="minorHAnsi" w:cstheme="minorBidi"/>
          <w:kern w:val="2"/>
          <w14:ligatures w14:val="standardContextual"/>
        </w:rPr>
      </w:pPr>
      <w:hyperlink w:anchor="_Toc222380358" w:history="1">
        <w:r w:rsidRPr="00821DF6">
          <w:rPr>
            <w:rStyle w:val="a3"/>
          </w:rPr>
          <w:t>Совет Федерации на заседании в среду одобрил закон, направленный на расширение возможностей системы персонифицированного учета для формирования страховых прав граждан.</w:t>
        </w:r>
        <w:r>
          <w:rPr>
            <w:webHidden/>
          </w:rPr>
          <w:tab/>
        </w:r>
        <w:r>
          <w:rPr>
            <w:webHidden/>
          </w:rPr>
          <w:fldChar w:fldCharType="begin"/>
        </w:r>
        <w:r>
          <w:rPr>
            <w:webHidden/>
          </w:rPr>
          <w:instrText xml:space="preserve"> PAGEREF _Toc222380358 \h </w:instrText>
        </w:r>
        <w:r>
          <w:rPr>
            <w:webHidden/>
          </w:rPr>
        </w:r>
        <w:r>
          <w:rPr>
            <w:webHidden/>
          </w:rPr>
          <w:fldChar w:fldCharType="separate"/>
        </w:r>
        <w:r>
          <w:rPr>
            <w:webHidden/>
          </w:rPr>
          <w:t>35</w:t>
        </w:r>
        <w:r>
          <w:rPr>
            <w:webHidden/>
          </w:rPr>
          <w:fldChar w:fldCharType="end"/>
        </w:r>
      </w:hyperlink>
    </w:p>
    <w:p w14:paraId="56E84764" w14:textId="6A66FE95"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59" w:history="1">
        <w:r w:rsidRPr="00821DF6">
          <w:rPr>
            <w:rStyle w:val="a3"/>
            <w:noProof/>
          </w:rPr>
          <w:t>ТАСС, 18.02.2026, СФ одобрил сохранение выплат для многодетных семей в случае превышения доходов</w:t>
        </w:r>
        <w:r>
          <w:rPr>
            <w:noProof/>
            <w:webHidden/>
          </w:rPr>
          <w:tab/>
        </w:r>
        <w:r>
          <w:rPr>
            <w:noProof/>
            <w:webHidden/>
          </w:rPr>
          <w:fldChar w:fldCharType="begin"/>
        </w:r>
        <w:r>
          <w:rPr>
            <w:noProof/>
            <w:webHidden/>
          </w:rPr>
          <w:instrText xml:space="preserve"> PAGEREF _Toc222380359 \h </w:instrText>
        </w:r>
        <w:r>
          <w:rPr>
            <w:noProof/>
            <w:webHidden/>
          </w:rPr>
        </w:r>
        <w:r>
          <w:rPr>
            <w:noProof/>
            <w:webHidden/>
          </w:rPr>
          <w:fldChar w:fldCharType="separate"/>
        </w:r>
        <w:r>
          <w:rPr>
            <w:noProof/>
            <w:webHidden/>
          </w:rPr>
          <w:t>35</w:t>
        </w:r>
        <w:r>
          <w:rPr>
            <w:noProof/>
            <w:webHidden/>
          </w:rPr>
          <w:fldChar w:fldCharType="end"/>
        </w:r>
      </w:hyperlink>
    </w:p>
    <w:p w14:paraId="2807B9BF" w14:textId="4A96EE63" w:rsidR="009E0B0E" w:rsidRDefault="009E0B0E">
      <w:pPr>
        <w:pStyle w:val="31"/>
        <w:rPr>
          <w:rFonts w:asciiTheme="minorHAnsi" w:eastAsiaTheme="minorEastAsia" w:hAnsiTheme="minorHAnsi" w:cstheme="minorBidi"/>
          <w:kern w:val="2"/>
          <w14:ligatures w14:val="standardContextual"/>
        </w:rPr>
      </w:pPr>
      <w:hyperlink w:anchor="_Toc222380360" w:history="1">
        <w:r w:rsidRPr="00821DF6">
          <w:rPr>
            <w:rStyle w:val="a3"/>
          </w:rPr>
          <w:t>Совет Федерации на пленарном заседании одобрил закон о критериях сохранения ежемесячного пособия многодетным семьям. Он позволит сохранить выплаты при незначительном превышении среднедушевого дохода - не более чем на 10% выше регионального прожиточного минимума.</w:t>
        </w:r>
        <w:r>
          <w:rPr>
            <w:webHidden/>
          </w:rPr>
          <w:tab/>
        </w:r>
        <w:r>
          <w:rPr>
            <w:webHidden/>
          </w:rPr>
          <w:fldChar w:fldCharType="begin"/>
        </w:r>
        <w:r>
          <w:rPr>
            <w:webHidden/>
          </w:rPr>
          <w:instrText xml:space="preserve"> PAGEREF _Toc222380360 \h </w:instrText>
        </w:r>
        <w:r>
          <w:rPr>
            <w:webHidden/>
          </w:rPr>
        </w:r>
        <w:r>
          <w:rPr>
            <w:webHidden/>
          </w:rPr>
          <w:fldChar w:fldCharType="separate"/>
        </w:r>
        <w:r>
          <w:rPr>
            <w:webHidden/>
          </w:rPr>
          <w:t>35</w:t>
        </w:r>
        <w:r>
          <w:rPr>
            <w:webHidden/>
          </w:rPr>
          <w:fldChar w:fldCharType="end"/>
        </w:r>
      </w:hyperlink>
    </w:p>
    <w:p w14:paraId="4B6D95E0" w14:textId="23312191"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61" w:history="1">
        <w:r w:rsidRPr="00821DF6">
          <w:rPr>
            <w:rStyle w:val="a3"/>
            <w:noProof/>
          </w:rPr>
          <w:t>РИА Новости, 19.02.2026, Кто сможет досрочно выйти на пенсию в 2026 году, рассказали в Совфеде</w:t>
        </w:r>
        <w:r>
          <w:rPr>
            <w:noProof/>
            <w:webHidden/>
          </w:rPr>
          <w:tab/>
        </w:r>
        <w:r>
          <w:rPr>
            <w:noProof/>
            <w:webHidden/>
          </w:rPr>
          <w:fldChar w:fldCharType="begin"/>
        </w:r>
        <w:r>
          <w:rPr>
            <w:noProof/>
            <w:webHidden/>
          </w:rPr>
          <w:instrText xml:space="preserve"> PAGEREF _Toc222380361 \h </w:instrText>
        </w:r>
        <w:r>
          <w:rPr>
            <w:noProof/>
            <w:webHidden/>
          </w:rPr>
        </w:r>
        <w:r>
          <w:rPr>
            <w:noProof/>
            <w:webHidden/>
          </w:rPr>
          <w:fldChar w:fldCharType="separate"/>
        </w:r>
        <w:r>
          <w:rPr>
            <w:noProof/>
            <w:webHidden/>
          </w:rPr>
          <w:t>36</w:t>
        </w:r>
        <w:r>
          <w:rPr>
            <w:noProof/>
            <w:webHidden/>
          </w:rPr>
          <w:fldChar w:fldCharType="end"/>
        </w:r>
      </w:hyperlink>
    </w:p>
    <w:p w14:paraId="461B82C6" w14:textId="1B764AB6" w:rsidR="009E0B0E" w:rsidRDefault="009E0B0E">
      <w:pPr>
        <w:pStyle w:val="31"/>
        <w:rPr>
          <w:rFonts w:asciiTheme="minorHAnsi" w:eastAsiaTheme="minorEastAsia" w:hAnsiTheme="minorHAnsi" w:cstheme="minorBidi"/>
          <w:kern w:val="2"/>
          <w14:ligatures w14:val="standardContextual"/>
        </w:rPr>
      </w:pPr>
      <w:hyperlink w:anchor="_Toc222380362" w:history="1">
        <w:r w:rsidRPr="00821DF6">
          <w:rPr>
            <w:rStyle w:val="a3"/>
          </w:rPr>
          <w:t>Право на досрочную пенсию в 2026 году имеют граждане с длительным стажем, многодетные матери, а также россияне с "северным" стажем, рассказала РИА Новости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_Toc222380362 \h </w:instrText>
        </w:r>
        <w:r>
          <w:rPr>
            <w:webHidden/>
          </w:rPr>
        </w:r>
        <w:r>
          <w:rPr>
            <w:webHidden/>
          </w:rPr>
          <w:fldChar w:fldCharType="separate"/>
        </w:r>
        <w:r>
          <w:rPr>
            <w:webHidden/>
          </w:rPr>
          <w:t>36</w:t>
        </w:r>
        <w:r>
          <w:rPr>
            <w:webHidden/>
          </w:rPr>
          <w:fldChar w:fldCharType="end"/>
        </w:r>
      </w:hyperlink>
    </w:p>
    <w:p w14:paraId="2874BBF3" w14:textId="01E4CA9C"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63" w:history="1">
        <w:r w:rsidRPr="00821DF6">
          <w:rPr>
            <w:rStyle w:val="a3"/>
            <w:noProof/>
          </w:rPr>
          <w:t>RT, 18.02.2026, Россиянам объяснили, когда возможен переход с социальной пенсии на страховую</w:t>
        </w:r>
        <w:r>
          <w:rPr>
            <w:noProof/>
            <w:webHidden/>
          </w:rPr>
          <w:tab/>
        </w:r>
        <w:r>
          <w:rPr>
            <w:noProof/>
            <w:webHidden/>
          </w:rPr>
          <w:fldChar w:fldCharType="begin"/>
        </w:r>
        <w:r>
          <w:rPr>
            <w:noProof/>
            <w:webHidden/>
          </w:rPr>
          <w:instrText xml:space="preserve"> PAGEREF _Toc222380363 \h </w:instrText>
        </w:r>
        <w:r>
          <w:rPr>
            <w:noProof/>
            <w:webHidden/>
          </w:rPr>
        </w:r>
        <w:r>
          <w:rPr>
            <w:noProof/>
            <w:webHidden/>
          </w:rPr>
          <w:fldChar w:fldCharType="separate"/>
        </w:r>
        <w:r>
          <w:rPr>
            <w:noProof/>
            <w:webHidden/>
          </w:rPr>
          <w:t>37</w:t>
        </w:r>
        <w:r>
          <w:rPr>
            <w:noProof/>
            <w:webHidden/>
          </w:rPr>
          <w:fldChar w:fldCharType="end"/>
        </w:r>
      </w:hyperlink>
    </w:p>
    <w:p w14:paraId="215B20D6" w14:textId="6F51B150" w:rsidR="009E0B0E" w:rsidRDefault="009E0B0E">
      <w:pPr>
        <w:pStyle w:val="31"/>
        <w:rPr>
          <w:rFonts w:asciiTheme="minorHAnsi" w:eastAsiaTheme="minorEastAsia" w:hAnsiTheme="minorHAnsi" w:cstheme="minorBidi"/>
          <w:kern w:val="2"/>
          <w14:ligatures w14:val="standardContextual"/>
        </w:rPr>
      </w:pPr>
      <w:hyperlink w:anchor="_Toc222380364" w:history="1">
        <w:r w:rsidRPr="00821DF6">
          <w:rPr>
            <w:rStyle w:val="a3"/>
          </w:rPr>
          <w:t>Перевод с социальной пенсии на страховую возможен, но не происходит автоматически. Он доступен только в том случае, если у человека появляется право на страховую пенсию соответствующего вида и подано заявление о переводе. Об этом рассказал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_Toc222380364 \h </w:instrText>
        </w:r>
        <w:r>
          <w:rPr>
            <w:webHidden/>
          </w:rPr>
        </w:r>
        <w:r>
          <w:rPr>
            <w:webHidden/>
          </w:rPr>
          <w:fldChar w:fldCharType="separate"/>
        </w:r>
        <w:r>
          <w:rPr>
            <w:webHidden/>
          </w:rPr>
          <w:t>37</w:t>
        </w:r>
        <w:r>
          <w:rPr>
            <w:webHidden/>
          </w:rPr>
          <w:fldChar w:fldCharType="end"/>
        </w:r>
      </w:hyperlink>
    </w:p>
    <w:p w14:paraId="40077720" w14:textId="69B5DC0F"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65" w:history="1">
        <w:r w:rsidRPr="00821DF6">
          <w:rPr>
            <w:rStyle w:val="a3"/>
            <w:noProof/>
          </w:rPr>
          <w:t>РИА Новости, 18.02.2026, Эксперт назвала средний возраст пожилого человека в России</w:t>
        </w:r>
        <w:r>
          <w:rPr>
            <w:noProof/>
            <w:webHidden/>
          </w:rPr>
          <w:tab/>
        </w:r>
        <w:r>
          <w:rPr>
            <w:noProof/>
            <w:webHidden/>
          </w:rPr>
          <w:fldChar w:fldCharType="begin"/>
        </w:r>
        <w:r>
          <w:rPr>
            <w:noProof/>
            <w:webHidden/>
          </w:rPr>
          <w:instrText xml:space="preserve"> PAGEREF _Toc222380365 \h </w:instrText>
        </w:r>
        <w:r>
          <w:rPr>
            <w:noProof/>
            <w:webHidden/>
          </w:rPr>
        </w:r>
        <w:r>
          <w:rPr>
            <w:noProof/>
            <w:webHidden/>
          </w:rPr>
          <w:fldChar w:fldCharType="separate"/>
        </w:r>
        <w:r>
          <w:rPr>
            <w:noProof/>
            <w:webHidden/>
          </w:rPr>
          <w:t>38</w:t>
        </w:r>
        <w:r>
          <w:rPr>
            <w:noProof/>
            <w:webHidden/>
          </w:rPr>
          <w:fldChar w:fldCharType="end"/>
        </w:r>
      </w:hyperlink>
    </w:p>
    <w:p w14:paraId="7971E81B" w14:textId="169381A2" w:rsidR="009E0B0E" w:rsidRDefault="009E0B0E">
      <w:pPr>
        <w:pStyle w:val="31"/>
        <w:rPr>
          <w:rFonts w:asciiTheme="minorHAnsi" w:eastAsiaTheme="minorEastAsia" w:hAnsiTheme="minorHAnsi" w:cstheme="minorBidi"/>
          <w:kern w:val="2"/>
          <w14:ligatures w14:val="standardContextual"/>
        </w:rPr>
      </w:pPr>
      <w:hyperlink w:anchor="_Toc222380366" w:history="1">
        <w:r w:rsidRPr="00821DF6">
          <w:rPr>
            <w:rStyle w:val="a3"/>
          </w:rPr>
          <w:t>Возраст пожилого человека составляет примерно 60 лет, однако его предел должен сдвигаться, потому что функциональность человека сохраняется сейчас намного дольше, сообщила главный внештатный гериатр Минздрава РФ, директор Российского геронтологического научно-клинического центра РНИМУ имени Н.И. Пирогова, член-корреспондент РАН Ольга Ткачева.</w:t>
        </w:r>
        <w:r>
          <w:rPr>
            <w:webHidden/>
          </w:rPr>
          <w:tab/>
        </w:r>
        <w:r>
          <w:rPr>
            <w:webHidden/>
          </w:rPr>
          <w:fldChar w:fldCharType="begin"/>
        </w:r>
        <w:r>
          <w:rPr>
            <w:webHidden/>
          </w:rPr>
          <w:instrText xml:space="preserve"> PAGEREF _Toc222380366 \h </w:instrText>
        </w:r>
        <w:r>
          <w:rPr>
            <w:webHidden/>
          </w:rPr>
        </w:r>
        <w:r>
          <w:rPr>
            <w:webHidden/>
          </w:rPr>
          <w:fldChar w:fldCharType="separate"/>
        </w:r>
        <w:r>
          <w:rPr>
            <w:webHidden/>
          </w:rPr>
          <w:t>38</w:t>
        </w:r>
        <w:r>
          <w:rPr>
            <w:webHidden/>
          </w:rPr>
          <w:fldChar w:fldCharType="end"/>
        </w:r>
      </w:hyperlink>
    </w:p>
    <w:p w14:paraId="21E239B7" w14:textId="545B270F"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67" w:history="1">
        <w:r w:rsidRPr="00821DF6">
          <w:rPr>
            <w:rStyle w:val="a3"/>
            <w:noProof/>
          </w:rPr>
          <w:t>ТАСС, 18.02.2026, В России средняя пенсия за год выросла на 2 тыс. рублей</w:t>
        </w:r>
        <w:r>
          <w:rPr>
            <w:noProof/>
            <w:webHidden/>
          </w:rPr>
          <w:tab/>
        </w:r>
        <w:r>
          <w:rPr>
            <w:noProof/>
            <w:webHidden/>
          </w:rPr>
          <w:fldChar w:fldCharType="begin"/>
        </w:r>
        <w:r>
          <w:rPr>
            <w:noProof/>
            <w:webHidden/>
          </w:rPr>
          <w:instrText xml:space="preserve"> PAGEREF _Toc222380367 \h </w:instrText>
        </w:r>
        <w:r>
          <w:rPr>
            <w:noProof/>
            <w:webHidden/>
          </w:rPr>
        </w:r>
        <w:r>
          <w:rPr>
            <w:noProof/>
            <w:webHidden/>
          </w:rPr>
          <w:fldChar w:fldCharType="separate"/>
        </w:r>
        <w:r>
          <w:rPr>
            <w:noProof/>
            <w:webHidden/>
          </w:rPr>
          <w:t>38</w:t>
        </w:r>
        <w:r>
          <w:rPr>
            <w:noProof/>
            <w:webHidden/>
          </w:rPr>
          <w:fldChar w:fldCharType="end"/>
        </w:r>
      </w:hyperlink>
    </w:p>
    <w:p w14:paraId="7ECCD627" w14:textId="4DD60A62" w:rsidR="009E0B0E" w:rsidRDefault="009E0B0E">
      <w:pPr>
        <w:pStyle w:val="31"/>
        <w:rPr>
          <w:rFonts w:asciiTheme="minorHAnsi" w:eastAsiaTheme="minorEastAsia" w:hAnsiTheme="minorHAnsi" w:cstheme="minorBidi"/>
          <w:kern w:val="2"/>
          <w14:ligatures w14:val="standardContextual"/>
        </w:rPr>
      </w:pPr>
      <w:hyperlink w:anchor="_Toc222380368" w:history="1">
        <w:r w:rsidRPr="00821DF6">
          <w:rPr>
            <w:rStyle w:val="a3"/>
          </w:rPr>
          <w:t>Средний размер пенсии в России за год вырос на 2079 рублей - в январе 2026 года сумма составила более 25 тыс. рублей. Это следует из данных Соцфонда, которые изучил ТАСС.</w:t>
        </w:r>
        <w:r>
          <w:rPr>
            <w:webHidden/>
          </w:rPr>
          <w:tab/>
        </w:r>
        <w:r>
          <w:rPr>
            <w:webHidden/>
          </w:rPr>
          <w:fldChar w:fldCharType="begin"/>
        </w:r>
        <w:r>
          <w:rPr>
            <w:webHidden/>
          </w:rPr>
          <w:instrText xml:space="preserve"> PAGEREF _Toc222380368 \h </w:instrText>
        </w:r>
        <w:r>
          <w:rPr>
            <w:webHidden/>
          </w:rPr>
        </w:r>
        <w:r>
          <w:rPr>
            <w:webHidden/>
          </w:rPr>
          <w:fldChar w:fldCharType="separate"/>
        </w:r>
        <w:r>
          <w:rPr>
            <w:webHidden/>
          </w:rPr>
          <w:t>38</w:t>
        </w:r>
        <w:r>
          <w:rPr>
            <w:webHidden/>
          </w:rPr>
          <w:fldChar w:fldCharType="end"/>
        </w:r>
      </w:hyperlink>
    </w:p>
    <w:p w14:paraId="13408A9C" w14:textId="239C5773"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69" w:history="1">
        <w:r w:rsidRPr="00821DF6">
          <w:rPr>
            <w:rStyle w:val="a3"/>
            <w:noProof/>
          </w:rPr>
          <w:t>Профиль, 18.02.2026, Как за год выросла средняя пенсия в России</w:t>
        </w:r>
        <w:r>
          <w:rPr>
            <w:noProof/>
            <w:webHidden/>
          </w:rPr>
          <w:tab/>
        </w:r>
        <w:r>
          <w:rPr>
            <w:noProof/>
            <w:webHidden/>
          </w:rPr>
          <w:fldChar w:fldCharType="begin"/>
        </w:r>
        <w:r>
          <w:rPr>
            <w:noProof/>
            <w:webHidden/>
          </w:rPr>
          <w:instrText xml:space="preserve"> PAGEREF _Toc222380369 \h </w:instrText>
        </w:r>
        <w:r>
          <w:rPr>
            <w:noProof/>
            <w:webHidden/>
          </w:rPr>
        </w:r>
        <w:r>
          <w:rPr>
            <w:noProof/>
            <w:webHidden/>
          </w:rPr>
          <w:fldChar w:fldCharType="separate"/>
        </w:r>
        <w:r>
          <w:rPr>
            <w:noProof/>
            <w:webHidden/>
          </w:rPr>
          <w:t>39</w:t>
        </w:r>
        <w:r>
          <w:rPr>
            <w:noProof/>
            <w:webHidden/>
          </w:rPr>
          <w:fldChar w:fldCharType="end"/>
        </w:r>
      </w:hyperlink>
    </w:p>
    <w:p w14:paraId="2E1240A4" w14:textId="321269C9" w:rsidR="009E0B0E" w:rsidRDefault="009E0B0E">
      <w:pPr>
        <w:pStyle w:val="31"/>
        <w:rPr>
          <w:rFonts w:asciiTheme="minorHAnsi" w:eastAsiaTheme="minorEastAsia" w:hAnsiTheme="minorHAnsi" w:cstheme="minorBidi"/>
          <w:kern w:val="2"/>
          <w14:ligatures w14:val="standardContextual"/>
        </w:rPr>
      </w:pPr>
      <w:hyperlink w:anchor="_Toc222380370" w:history="1">
        <w:r w:rsidRPr="00821DF6">
          <w:rPr>
            <w:rStyle w:val="a3"/>
          </w:rPr>
          <w:t>По данным Соцфонда, средний размер назначенных пенсий по видам пенсионного обеспечения по состоянию на 1 января 2026 года составил 25.254 руб. В январе 2025 года он был на уровне 23.175 руб.</w:t>
        </w:r>
        <w:r>
          <w:rPr>
            <w:webHidden/>
          </w:rPr>
          <w:tab/>
        </w:r>
        <w:r>
          <w:rPr>
            <w:webHidden/>
          </w:rPr>
          <w:fldChar w:fldCharType="begin"/>
        </w:r>
        <w:r>
          <w:rPr>
            <w:webHidden/>
          </w:rPr>
          <w:instrText xml:space="preserve"> PAGEREF _Toc222380370 \h </w:instrText>
        </w:r>
        <w:r>
          <w:rPr>
            <w:webHidden/>
          </w:rPr>
        </w:r>
        <w:r>
          <w:rPr>
            <w:webHidden/>
          </w:rPr>
          <w:fldChar w:fldCharType="separate"/>
        </w:r>
        <w:r>
          <w:rPr>
            <w:webHidden/>
          </w:rPr>
          <w:t>39</w:t>
        </w:r>
        <w:r>
          <w:rPr>
            <w:webHidden/>
          </w:rPr>
          <w:fldChar w:fldCharType="end"/>
        </w:r>
      </w:hyperlink>
    </w:p>
    <w:p w14:paraId="0D468F60" w14:textId="182EE2A2"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71" w:history="1">
        <w:r w:rsidRPr="00821DF6">
          <w:rPr>
            <w:rStyle w:val="a3"/>
            <w:noProof/>
          </w:rPr>
          <w:t>Busiprof.ru, 18.02.2026, Средняя пенсия неработающих россиян выросла на 2,3 тысячи рублей</w:t>
        </w:r>
        <w:r>
          <w:rPr>
            <w:noProof/>
            <w:webHidden/>
          </w:rPr>
          <w:tab/>
        </w:r>
        <w:r>
          <w:rPr>
            <w:noProof/>
            <w:webHidden/>
          </w:rPr>
          <w:fldChar w:fldCharType="begin"/>
        </w:r>
        <w:r>
          <w:rPr>
            <w:noProof/>
            <w:webHidden/>
          </w:rPr>
          <w:instrText xml:space="preserve"> PAGEREF _Toc222380371 \h </w:instrText>
        </w:r>
        <w:r>
          <w:rPr>
            <w:noProof/>
            <w:webHidden/>
          </w:rPr>
        </w:r>
        <w:r>
          <w:rPr>
            <w:noProof/>
            <w:webHidden/>
          </w:rPr>
          <w:fldChar w:fldCharType="separate"/>
        </w:r>
        <w:r>
          <w:rPr>
            <w:noProof/>
            <w:webHidden/>
          </w:rPr>
          <w:t>39</w:t>
        </w:r>
        <w:r>
          <w:rPr>
            <w:noProof/>
            <w:webHidden/>
          </w:rPr>
          <w:fldChar w:fldCharType="end"/>
        </w:r>
      </w:hyperlink>
    </w:p>
    <w:p w14:paraId="66F70767" w14:textId="2E13D7C1" w:rsidR="009E0B0E" w:rsidRDefault="009E0B0E">
      <w:pPr>
        <w:pStyle w:val="31"/>
        <w:rPr>
          <w:rFonts w:asciiTheme="minorHAnsi" w:eastAsiaTheme="minorEastAsia" w:hAnsiTheme="minorHAnsi" w:cstheme="minorBidi"/>
          <w:kern w:val="2"/>
          <w14:ligatures w14:val="standardContextual"/>
        </w:rPr>
      </w:pPr>
      <w:hyperlink w:anchor="_Toc222380372" w:history="1">
        <w:r w:rsidRPr="00821DF6">
          <w:rPr>
            <w:rStyle w:val="a3"/>
          </w:rPr>
          <w:t>Социальный фонд России отчитался о заметном увеличении средней пенсии для неработающих граждан. За прошедший период этот показатель подрос на 2,3 тысячи рублей. Данная информация, представленная в статистических отчетах организации, является важным индикатором уровня жизни пенсионеров и эффективности проводимой пенсионной политики.</w:t>
        </w:r>
        <w:r>
          <w:rPr>
            <w:webHidden/>
          </w:rPr>
          <w:tab/>
        </w:r>
        <w:r>
          <w:rPr>
            <w:webHidden/>
          </w:rPr>
          <w:fldChar w:fldCharType="begin"/>
        </w:r>
        <w:r>
          <w:rPr>
            <w:webHidden/>
          </w:rPr>
          <w:instrText xml:space="preserve"> PAGEREF _Toc222380372 \h </w:instrText>
        </w:r>
        <w:r>
          <w:rPr>
            <w:webHidden/>
          </w:rPr>
        </w:r>
        <w:r>
          <w:rPr>
            <w:webHidden/>
          </w:rPr>
          <w:fldChar w:fldCharType="separate"/>
        </w:r>
        <w:r>
          <w:rPr>
            <w:webHidden/>
          </w:rPr>
          <w:t>39</w:t>
        </w:r>
        <w:r>
          <w:rPr>
            <w:webHidden/>
          </w:rPr>
          <w:fldChar w:fldCharType="end"/>
        </w:r>
      </w:hyperlink>
    </w:p>
    <w:p w14:paraId="2DE3D6BB" w14:textId="6901C147"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73" w:history="1">
        <w:r w:rsidRPr="00821DF6">
          <w:rPr>
            <w:rStyle w:val="a3"/>
            <w:noProof/>
          </w:rPr>
          <w:t>Газета.ру, 18.02.2026, Стало известно, у кого из россиян в марте вырастут пенсии</w:t>
        </w:r>
        <w:r>
          <w:rPr>
            <w:noProof/>
            <w:webHidden/>
          </w:rPr>
          <w:tab/>
        </w:r>
        <w:r>
          <w:rPr>
            <w:noProof/>
            <w:webHidden/>
          </w:rPr>
          <w:fldChar w:fldCharType="begin"/>
        </w:r>
        <w:r>
          <w:rPr>
            <w:noProof/>
            <w:webHidden/>
          </w:rPr>
          <w:instrText xml:space="preserve"> PAGEREF _Toc222380373 \h </w:instrText>
        </w:r>
        <w:r>
          <w:rPr>
            <w:noProof/>
            <w:webHidden/>
          </w:rPr>
        </w:r>
        <w:r>
          <w:rPr>
            <w:noProof/>
            <w:webHidden/>
          </w:rPr>
          <w:fldChar w:fldCharType="separate"/>
        </w:r>
        <w:r>
          <w:rPr>
            <w:noProof/>
            <w:webHidden/>
          </w:rPr>
          <w:t>40</w:t>
        </w:r>
        <w:r>
          <w:rPr>
            <w:noProof/>
            <w:webHidden/>
          </w:rPr>
          <w:fldChar w:fldCharType="end"/>
        </w:r>
      </w:hyperlink>
    </w:p>
    <w:p w14:paraId="18B19562" w14:textId="2CD6C1FD" w:rsidR="009E0B0E" w:rsidRDefault="009E0B0E">
      <w:pPr>
        <w:pStyle w:val="31"/>
        <w:rPr>
          <w:rFonts w:asciiTheme="minorHAnsi" w:eastAsiaTheme="minorEastAsia" w:hAnsiTheme="minorHAnsi" w:cstheme="minorBidi"/>
          <w:kern w:val="2"/>
          <w14:ligatures w14:val="standardContextual"/>
        </w:rPr>
      </w:pPr>
      <w:hyperlink w:anchor="_Toc222380374" w:history="1">
        <w:r w:rsidRPr="00821DF6">
          <w:rPr>
            <w:rStyle w:val="a3"/>
          </w:rPr>
          <w:t>Пенсии некоторых 80-летних россиян в марте вырастут на 36,9% по сравнению с декабрем и на 27,2% к январю-февралю, оценил для «Газеты.Ru»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_Toc222380374 \h </w:instrText>
        </w:r>
        <w:r>
          <w:rPr>
            <w:webHidden/>
          </w:rPr>
        </w:r>
        <w:r>
          <w:rPr>
            <w:webHidden/>
          </w:rPr>
          <w:fldChar w:fldCharType="separate"/>
        </w:r>
        <w:r>
          <w:rPr>
            <w:webHidden/>
          </w:rPr>
          <w:t>40</w:t>
        </w:r>
        <w:r>
          <w:rPr>
            <w:webHidden/>
          </w:rPr>
          <w:fldChar w:fldCharType="end"/>
        </w:r>
      </w:hyperlink>
    </w:p>
    <w:p w14:paraId="6FBC9515" w14:textId="45117E26"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75" w:history="1">
        <w:r w:rsidRPr="00821DF6">
          <w:rPr>
            <w:rStyle w:val="a3"/>
            <w:noProof/>
          </w:rPr>
          <w:t>Экология Севера, 18.02.2026, Пенсия сама себя не сформирует: как позаботиться о старости, пока ещё молод</w:t>
        </w:r>
        <w:r>
          <w:rPr>
            <w:noProof/>
            <w:webHidden/>
          </w:rPr>
          <w:tab/>
        </w:r>
        <w:r>
          <w:rPr>
            <w:noProof/>
            <w:webHidden/>
          </w:rPr>
          <w:fldChar w:fldCharType="begin"/>
        </w:r>
        <w:r>
          <w:rPr>
            <w:noProof/>
            <w:webHidden/>
          </w:rPr>
          <w:instrText xml:space="preserve"> PAGEREF _Toc222380375 \h </w:instrText>
        </w:r>
        <w:r>
          <w:rPr>
            <w:noProof/>
            <w:webHidden/>
          </w:rPr>
        </w:r>
        <w:r>
          <w:rPr>
            <w:noProof/>
            <w:webHidden/>
          </w:rPr>
          <w:fldChar w:fldCharType="separate"/>
        </w:r>
        <w:r>
          <w:rPr>
            <w:noProof/>
            <w:webHidden/>
          </w:rPr>
          <w:t>41</w:t>
        </w:r>
        <w:r>
          <w:rPr>
            <w:noProof/>
            <w:webHidden/>
          </w:rPr>
          <w:fldChar w:fldCharType="end"/>
        </w:r>
      </w:hyperlink>
    </w:p>
    <w:p w14:paraId="30B04795" w14:textId="55D354CE" w:rsidR="009E0B0E" w:rsidRDefault="009E0B0E">
      <w:pPr>
        <w:pStyle w:val="31"/>
        <w:rPr>
          <w:rFonts w:asciiTheme="minorHAnsi" w:eastAsiaTheme="minorEastAsia" w:hAnsiTheme="minorHAnsi" w:cstheme="minorBidi"/>
          <w:kern w:val="2"/>
          <w14:ligatures w14:val="standardContextual"/>
        </w:rPr>
      </w:pPr>
      <w:hyperlink w:anchor="_Toc222380376" w:history="1">
        <w:r w:rsidRPr="00821DF6">
          <w:rPr>
            <w:rStyle w:val="a3"/>
          </w:rPr>
          <w:t>Пенсионное будущее формируется не за десять лет до выхода на заслуженный отдых, а с первого трудового дня. Об этом рассказал кандидат экономических наук, доцент кафедры общественных финансов Финансового университета при Правительстве РФ Игорь Балынин. По его словам, устойчивое финансовое обеспечение в старости зависит от того, насколько человек осознанно подходит к вопросу формирования пенсионных прав.</w:t>
        </w:r>
        <w:r>
          <w:rPr>
            <w:webHidden/>
          </w:rPr>
          <w:tab/>
        </w:r>
        <w:r>
          <w:rPr>
            <w:webHidden/>
          </w:rPr>
          <w:fldChar w:fldCharType="begin"/>
        </w:r>
        <w:r>
          <w:rPr>
            <w:webHidden/>
          </w:rPr>
          <w:instrText xml:space="preserve"> PAGEREF _Toc222380376 \h </w:instrText>
        </w:r>
        <w:r>
          <w:rPr>
            <w:webHidden/>
          </w:rPr>
        </w:r>
        <w:r>
          <w:rPr>
            <w:webHidden/>
          </w:rPr>
          <w:fldChar w:fldCharType="separate"/>
        </w:r>
        <w:r>
          <w:rPr>
            <w:webHidden/>
          </w:rPr>
          <w:t>41</w:t>
        </w:r>
        <w:r>
          <w:rPr>
            <w:webHidden/>
          </w:rPr>
          <w:fldChar w:fldCharType="end"/>
        </w:r>
      </w:hyperlink>
    </w:p>
    <w:p w14:paraId="75B6E9D4" w14:textId="0D9F6FA0"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77" w:history="1">
        <w:r w:rsidRPr="00821DF6">
          <w:rPr>
            <w:rStyle w:val="a3"/>
            <w:noProof/>
          </w:rPr>
          <w:t>Аргументы.ру, 18.02.2026, В какой стране самые богатые пенсионеры</w:t>
        </w:r>
        <w:r>
          <w:rPr>
            <w:noProof/>
            <w:webHidden/>
          </w:rPr>
          <w:tab/>
        </w:r>
        <w:r>
          <w:rPr>
            <w:noProof/>
            <w:webHidden/>
          </w:rPr>
          <w:fldChar w:fldCharType="begin"/>
        </w:r>
        <w:r>
          <w:rPr>
            <w:noProof/>
            <w:webHidden/>
          </w:rPr>
          <w:instrText xml:space="preserve"> PAGEREF _Toc222380377 \h </w:instrText>
        </w:r>
        <w:r>
          <w:rPr>
            <w:noProof/>
            <w:webHidden/>
          </w:rPr>
        </w:r>
        <w:r>
          <w:rPr>
            <w:noProof/>
            <w:webHidden/>
          </w:rPr>
          <w:fldChar w:fldCharType="separate"/>
        </w:r>
        <w:r>
          <w:rPr>
            <w:noProof/>
            <w:webHidden/>
          </w:rPr>
          <w:t>42</w:t>
        </w:r>
        <w:r>
          <w:rPr>
            <w:noProof/>
            <w:webHidden/>
          </w:rPr>
          <w:fldChar w:fldCharType="end"/>
        </w:r>
      </w:hyperlink>
    </w:p>
    <w:p w14:paraId="05356DE5" w14:textId="1F3ABD28" w:rsidR="009E0B0E" w:rsidRDefault="009E0B0E">
      <w:pPr>
        <w:pStyle w:val="31"/>
        <w:rPr>
          <w:rFonts w:asciiTheme="minorHAnsi" w:eastAsiaTheme="minorEastAsia" w:hAnsiTheme="minorHAnsi" w:cstheme="minorBidi"/>
          <w:kern w:val="2"/>
          <w14:ligatures w14:val="standardContextual"/>
        </w:rPr>
      </w:pPr>
      <w:hyperlink w:anchor="_Toc222380378" w:history="1">
        <w:r w:rsidRPr="00821DF6">
          <w:rPr>
            <w:rStyle w:val="a3"/>
          </w:rPr>
          <w:t>Демографические изменения, связанные с увеличением доли пожилых людей в обществе, и дефицит пенсионных фондов вынуждают страны увеличивать пенсионный возраст, однако ожидаемого эффекта это часто не даёт. Пенсионные преобразования в России и Франции сформировали устойчивые риски в социальной, финансовой и экономической сферах.</w:t>
        </w:r>
        <w:r>
          <w:rPr>
            <w:webHidden/>
          </w:rPr>
          <w:tab/>
        </w:r>
        <w:r>
          <w:rPr>
            <w:webHidden/>
          </w:rPr>
          <w:fldChar w:fldCharType="begin"/>
        </w:r>
        <w:r>
          <w:rPr>
            <w:webHidden/>
          </w:rPr>
          <w:instrText xml:space="preserve"> PAGEREF _Toc222380378 \h </w:instrText>
        </w:r>
        <w:r>
          <w:rPr>
            <w:webHidden/>
          </w:rPr>
        </w:r>
        <w:r>
          <w:rPr>
            <w:webHidden/>
          </w:rPr>
          <w:fldChar w:fldCharType="separate"/>
        </w:r>
        <w:r>
          <w:rPr>
            <w:webHidden/>
          </w:rPr>
          <w:t>42</w:t>
        </w:r>
        <w:r>
          <w:rPr>
            <w:webHidden/>
          </w:rPr>
          <w:fldChar w:fldCharType="end"/>
        </w:r>
      </w:hyperlink>
    </w:p>
    <w:p w14:paraId="6DC591AD" w14:textId="200489B5"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79" w:history="1">
        <w:r w:rsidRPr="00821DF6">
          <w:rPr>
            <w:rStyle w:val="a3"/>
            <w:noProof/>
          </w:rPr>
          <w:t>PRIMPRESS, 18.02.2026, Почему пенсионерам, которые владеют жильем, придется платить больше</w:t>
        </w:r>
        <w:r>
          <w:rPr>
            <w:noProof/>
            <w:webHidden/>
          </w:rPr>
          <w:tab/>
        </w:r>
        <w:r>
          <w:rPr>
            <w:noProof/>
            <w:webHidden/>
          </w:rPr>
          <w:fldChar w:fldCharType="begin"/>
        </w:r>
        <w:r>
          <w:rPr>
            <w:noProof/>
            <w:webHidden/>
          </w:rPr>
          <w:instrText xml:space="preserve"> PAGEREF _Toc222380379 \h </w:instrText>
        </w:r>
        <w:r>
          <w:rPr>
            <w:noProof/>
            <w:webHidden/>
          </w:rPr>
        </w:r>
        <w:r>
          <w:rPr>
            <w:noProof/>
            <w:webHidden/>
          </w:rPr>
          <w:fldChar w:fldCharType="separate"/>
        </w:r>
        <w:r>
          <w:rPr>
            <w:noProof/>
            <w:webHidden/>
          </w:rPr>
          <w:t>42</w:t>
        </w:r>
        <w:r>
          <w:rPr>
            <w:noProof/>
            <w:webHidden/>
          </w:rPr>
          <w:fldChar w:fldCharType="end"/>
        </w:r>
      </w:hyperlink>
    </w:p>
    <w:p w14:paraId="4F728F7C" w14:textId="17880A9B" w:rsidR="009E0B0E" w:rsidRDefault="009E0B0E">
      <w:pPr>
        <w:pStyle w:val="31"/>
        <w:rPr>
          <w:rFonts w:asciiTheme="minorHAnsi" w:eastAsiaTheme="minorEastAsia" w:hAnsiTheme="minorHAnsi" w:cstheme="minorBidi"/>
          <w:kern w:val="2"/>
          <w14:ligatures w14:val="standardContextual"/>
        </w:rPr>
      </w:pPr>
      <w:hyperlink w:anchor="_Toc222380380" w:history="1">
        <w:r w:rsidRPr="00821DF6">
          <w:rPr>
            <w:rStyle w:val="a3"/>
          </w:rPr>
          <w:t>Даже с учётом льгот пенсионеры всё чаще сталкиваются с ростом расходов на квартиру и дом. Причина не только в коммунальных тарифах: меняется порядок расчёта налогов, взносов и оплаты услуг, а владение недвижимостью становится всё более затратным.</w:t>
        </w:r>
        <w:r>
          <w:rPr>
            <w:webHidden/>
          </w:rPr>
          <w:tab/>
        </w:r>
        <w:r>
          <w:rPr>
            <w:webHidden/>
          </w:rPr>
          <w:fldChar w:fldCharType="begin"/>
        </w:r>
        <w:r>
          <w:rPr>
            <w:webHidden/>
          </w:rPr>
          <w:instrText xml:space="preserve"> PAGEREF _Toc222380380 \h </w:instrText>
        </w:r>
        <w:r>
          <w:rPr>
            <w:webHidden/>
          </w:rPr>
        </w:r>
        <w:r>
          <w:rPr>
            <w:webHidden/>
          </w:rPr>
          <w:fldChar w:fldCharType="separate"/>
        </w:r>
        <w:r>
          <w:rPr>
            <w:webHidden/>
          </w:rPr>
          <w:t>42</w:t>
        </w:r>
        <w:r>
          <w:rPr>
            <w:webHidden/>
          </w:rPr>
          <w:fldChar w:fldCharType="end"/>
        </w:r>
      </w:hyperlink>
    </w:p>
    <w:p w14:paraId="78F768C7" w14:textId="2D4CD009"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81" w:history="1">
        <w:r w:rsidRPr="00821DF6">
          <w:rPr>
            <w:rStyle w:val="a3"/>
            <w:noProof/>
          </w:rPr>
          <w:t>PRIMPRESS, 18.02.2026, Что с марта будет с пенсионерами, которые прописаны в квартире с детьми</w:t>
        </w:r>
        <w:r>
          <w:rPr>
            <w:noProof/>
            <w:webHidden/>
          </w:rPr>
          <w:tab/>
        </w:r>
        <w:r>
          <w:rPr>
            <w:noProof/>
            <w:webHidden/>
          </w:rPr>
          <w:fldChar w:fldCharType="begin"/>
        </w:r>
        <w:r>
          <w:rPr>
            <w:noProof/>
            <w:webHidden/>
          </w:rPr>
          <w:instrText xml:space="preserve"> PAGEREF _Toc222380381 \h </w:instrText>
        </w:r>
        <w:r>
          <w:rPr>
            <w:noProof/>
            <w:webHidden/>
          </w:rPr>
        </w:r>
        <w:r>
          <w:rPr>
            <w:noProof/>
            <w:webHidden/>
          </w:rPr>
          <w:fldChar w:fldCharType="separate"/>
        </w:r>
        <w:r>
          <w:rPr>
            <w:noProof/>
            <w:webHidden/>
          </w:rPr>
          <w:t>43</w:t>
        </w:r>
        <w:r>
          <w:rPr>
            <w:noProof/>
            <w:webHidden/>
          </w:rPr>
          <w:fldChar w:fldCharType="end"/>
        </w:r>
      </w:hyperlink>
    </w:p>
    <w:p w14:paraId="467B873D" w14:textId="7FB6B158" w:rsidR="009E0B0E" w:rsidRDefault="009E0B0E">
      <w:pPr>
        <w:pStyle w:val="31"/>
        <w:rPr>
          <w:rFonts w:asciiTheme="minorHAnsi" w:eastAsiaTheme="minorEastAsia" w:hAnsiTheme="minorHAnsi" w:cstheme="minorBidi"/>
          <w:kern w:val="2"/>
          <w14:ligatures w14:val="standardContextual"/>
        </w:rPr>
      </w:pPr>
      <w:hyperlink w:anchor="_Toc222380382" w:history="1">
        <w:r w:rsidRPr="00821DF6">
          <w:rPr>
            <w:rStyle w:val="a3"/>
          </w:rPr>
          <w:t>С началом весны для семей, где в одной квартире зарегистрированы пенсионеры и дети, могут измениться порядок начисления льгот и оплаты коммунальных услуг. Важно понимать, как совместная регистрация влияет на субсидии, компенсации и «коммуналку».</w:t>
        </w:r>
        <w:r>
          <w:rPr>
            <w:webHidden/>
          </w:rPr>
          <w:tab/>
        </w:r>
        <w:r>
          <w:rPr>
            <w:webHidden/>
          </w:rPr>
          <w:fldChar w:fldCharType="begin"/>
        </w:r>
        <w:r>
          <w:rPr>
            <w:webHidden/>
          </w:rPr>
          <w:instrText xml:space="preserve"> PAGEREF _Toc222380382 \h </w:instrText>
        </w:r>
        <w:r>
          <w:rPr>
            <w:webHidden/>
          </w:rPr>
        </w:r>
        <w:r>
          <w:rPr>
            <w:webHidden/>
          </w:rPr>
          <w:fldChar w:fldCharType="separate"/>
        </w:r>
        <w:r>
          <w:rPr>
            <w:webHidden/>
          </w:rPr>
          <w:t>43</w:t>
        </w:r>
        <w:r>
          <w:rPr>
            <w:webHidden/>
          </w:rPr>
          <w:fldChar w:fldCharType="end"/>
        </w:r>
      </w:hyperlink>
    </w:p>
    <w:p w14:paraId="0C000D33" w14:textId="0AFD67F2"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83" w:history="1">
        <w:r w:rsidRPr="00821DF6">
          <w:rPr>
            <w:rStyle w:val="a3"/>
            <w:noProof/>
          </w:rPr>
          <w:t>Царьград, 18.02.2026, Зюганов предложил вернуть пенсии в 55 и 60 лет</w:t>
        </w:r>
        <w:r>
          <w:rPr>
            <w:noProof/>
            <w:webHidden/>
          </w:rPr>
          <w:tab/>
        </w:r>
        <w:r>
          <w:rPr>
            <w:noProof/>
            <w:webHidden/>
          </w:rPr>
          <w:fldChar w:fldCharType="begin"/>
        </w:r>
        <w:r>
          <w:rPr>
            <w:noProof/>
            <w:webHidden/>
          </w:rPr>
          <w:instrText xml:space="preserve"> PAGEREF _Toc222380383 \h </w:instrText>
        </w:r>
        <w:r>
          <w:rPr>
            <w:noProof/>
            <w:webHidden/>
          </w:rPr>
        </w:r>
        <w:r>
          <w:rPr>
            <w:noProof/>
            <w:webHidden/>
          </w:rPr>
          <w:fldChar w:fldCharType="separate"/>
        </w:r>
        <w:r>
          <w:rPr>
            <w:noProof/>
            <w:webHidden/>
          </w:rPr>
          <w:t>44</w:t>
        </w:r>
        <w:r>
          <w:rPr>
            <w:noProof/>
            <w:webHidden/>
          </w:rPr>
          <w:fldChar w:fldCharType="end"/>
        </w:r>
      </w:hyperlink>
    </w:p>
    <w:p w14:paraId="79070F6D" w14:textId="4E571619" w:rsidR="009E0B0E" w:rsidRDefault="009E0B0E">
      <w:pPr>
        <w:pStyle w:val="31"/>
        <w:rPr>
          <w:rFonts w:asciiTheme="minorHAnsi" w:eastAsiaTheme="minorEastAsia" w:hAnsiTheme="minorHAnsi" w:cstheme="minorBidi"/>
          <w:kern w:val="2"/>
          <w14:ligatures w14:val="standardContextual"/>
        </w:rPr>
      </w:pPr>
      <w:hyperlink w:anchor="_Toc222380384" w:history="1">
        <w:r w:rsidRPr="00821DF6">
          <w:rPr>
            <w:rStyle w:val="a3"/>
          </w:rPr>
          <w:t>Группа депутатов от фракции КПРФ под руководством председателя партии Геннадия Зюганова в феврале 2026 года инициировала рассмотрение законопроекта о восстановлении прежних значений пенсионного возраста. Согласно документу, предлагается установить планку в 60 лет для мужчин и 55 лет для женщин.</w:t>
        </w:r>
        <w:r>
          <w:rPr>
            <w:webHidden/>
          </w:rPr>
          <w:tab/>
        </w:r>
        <w:r>
          <w:rPr>
            <w:webHidden/>
          </w:rPr>
          <w:fldChar w:fldCharType="begin"/>
        </w:r>
        <w:r>
          <w:rPr>
            <w:webHidden/>
          </w:rPr>
          <w:instrText xml:space="preserve"> PAGEREF _Toc222380384 \h </w:instrText>
        </w:r>
        <w:r>
          <w:rPr>
            <w:webHidden/>
          </w:rPr>
        </w:r>
        <w:r>
          <w:rPr>
            <w:webHidden/>
          </w:rPr>
          <w:fldChar w:fldCharType="separate"/>
        </w:r>
        <w:r>
          <w:rPr>
            <w:webHidden/>
          </w:rPr>
          <w:t>44</w:t>
        </w:r>
        <w:r>
          <w:rPr>
            <w:webHidden/>
          </w:rPr>
          <w:fldChar w:fldCharType="end"/>
        </w:r>
      </w:hyperlink>
    </w:p>
    <w:p w14:paraId="1EE7C7C1" w14:textId="1CA82174" w:rsidR="009E0B0E" w:rsidRDefault="009E0B0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380385" w:history="1">
        <w:r w:rsidRPr="00821DF6">
          <w:rPr>
            <w:rStyle w:val="a3"/>
            <w:noProof/>
          </w:rPr>
          <w:t>Региональные СМИ</w:t>
        </w:r>
        <w:r>
          <w:rPr>
            <w:noProof/>
            <w:webHidden/>
          </w:rPr>
          <w:tab/>
        </w:r>
        <w:r>
          <w:rPr>
            <w:noProof/>
            <w:webHidden/>
          </w:rPr>
          <w:fldChar w:fldCharType="begin"/>
        </w:r>
        <w:r>
          <w:rPr>
            <w:noProof/>
            <w:webHidden/>
          </w:rPr>
          <w:instrText xml:space="preserve"> PAGEREF _Toc222380385 \h </w:instrText>
        </w:r>
        <w:r>
          <w:rPr>
            <w:noProof/>
            <w:webHidden/>
          </w:rPr>
        </w:r>
        <w:r>
          <w:rPr>
            <w:noProof/>
            <w:webHidden/>
          </w:rPr>
          <w:fldChar w:fldCharType="separate"/>
        </w:r>
        <w:r>
          <w:rPr>
            <w:noProof/>
            <w:webHidden/>
          </w:rPr>
          <w:t>45</w:t>
        </w:r>
        <w:r>
          <w:rPr>
            <w:noProof/>
            <w:webHidden/>
          </w:rPr>
          <w:fldChar w:fldCharType="end"/>
        </w:r>
      </w:hyperlink>
    </w:p>
    <w:p w14:paraId="3CE6F408" w14:textId="2F3DDEA7"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86" w:history="1">
        <w:r w:rsidRPr="00821DF6">
          <w:rPr>
            <w:rStyle w:val="a3"/>
            <w:noProof/>
          </w:rPr>
          <w:t>Юга.ру, 18.02.2026, В Госдуме признали, что пенсионная реформа провалилась</w:t>
        </w:r>
        <w:r>
          <w:rPr>
            <w:noProof/>
            <w:webHidden/>
          </w:rPr>
          <w:tab/>
        </w:r>
        <w:r>
          <w:rPr>
            <w:noProof/>
            <w:webHidden/>
          </w:rPr>
          <w:fldChar w:fldCharType="begin"/>
        </w:r>
        <w:r>
          <w:rPr>
            <w:noProof/>
            <w:webHidden/>
          </w:rPr>
          <w:instrText xml:space="preserve"> PAGEREF _Toc222380386 \h </w:instrText>
        </w:r>
        <w:r>
          <w:rPr>
            <w:noProof/>
            <w:webHidden/>
          </w:rPr>
        </w:r>
        <w:r>
          <w:rPr>
            <w:noProof/>
            <w:webHidden/>
          </w:rPr>
          <w:fldChar w:fldCharType="separate"/>
        </w:r>
        <w:r>
          <w:rPr>
            <w:noProof/>
            <w:webHidden/>
          </w:rPr>
          <w:t>45</w:t>
        </w:r>
        <w:r>
          <w:rPr>
            <w:noProof/>
            <w:webHidden/>
          </w:rPr>
          <w:fldChar w:fldCharType="end"/>
        </w:r>
      </w:hyperlink>
    </w:p>
    <w:p w14:paraId="032CA43C" w14:textId="7C378AEE" w:rsidR="009E0B0E" w:rsidRDefault="009E0B0E">
      <w:pPr>
        <w:pStyle w:val="31"/>
        <w:rPr>
          <w:rFonts w:asciiTheme="minorHAnsi" w:eastAsiaTheme="minorEastAsia" w:hAnsiTheme="minorHAnsi" w:cstheme="minorBidi"/>
          <w:kern w:val="2"/>
          <w14:ligatures w14:val="standardContextual"/>
        </w:rPr>
      </w:pPr>
      <w:hyperlink w:anchor="_Toc222380387" w:history="1">
        <w:r w:rsidRPr="00821DF6">
          <w:rPr>
            <w:rStyle w:val="a3"/>
          </w:rPr>
          <w:t>16 февраля доктор экономических наук, профессор и депутат Госдумы Оксана Дмитриева опубликовала пост в своем телеграм-канале. В тексте она заявила, что реализованная с 2019 года реформа по повышению пенсионного возраста не дала ожидаемого эффекта.</w:t>
        </w:r>
        <w:r>
          <w:rPr>
            <w:webHidden/>
          </w:rPr>
          <w:tab/>
        </w:r>
        <w:r>
          <w:rPr>
            <w:webHidden/>
          </w:rPr>
          <w:fldChar w:fldCharType="begin"/>
        </w:r>
        <w:r>
          <w:rPr>
            <w:webHidden/>
          </w:rPr>
          <w:instrText xml:space="preserve"> PAGEREF _Toc222380387 \h </w:instrText>
        </w:r>
        <w:r>
          <w:rPr>
            <w:webHidden/>
          </w:rPr>
        </w:r>
        <w:r>
          <w:rPr>
            <w:webHidden/>
          </w:rPr>
          <w:fldChar w:fldCharType="separate"/>
        </w:r>
        <w:r>
          <w:rPr>
            <w:webHidden/>
          </w:rPr>
          <w:t>45</w:t>
        </w:r>
        <w:r>
          <w:rPr>
            <w:webHidden/>
          </w:rPr>
          <w:fldChar w:fldCharType="end"/>
        </w:r>
      </w:hyperlink>
    </w:p>
    <w:p w14:paraId="62A556A7" w14:textId="355952D0"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88" w:history="1">
        <w:r w:rsidRPr="00821DF6">
          <w:rPr>
            <w:rStyle w:val="a3"/>
            <w:noProof/>
          </w:rPr>
          <w:t>Кубань сегодня, 18.02.2026, Экономист Олег Николаев прокомментировал законопроект о возвращении прежнего пенсионного возраста</w:t>
        </w:r>
        <w:r>
          <w:rPr>
            <w:noProof/>
            <w:webHidden/>
          </w:rPr>
          <w:tab/>
        </w:r>
        <w:r>
          <w:rPr>
            <w:noProof/>
            <w:webHidden/>
          </w:rPr>
          <w:fldChar w:fldCharType="begin"/>
        </w:r>
        <w:r>
          <w:rPr>
            <w:noProof/>
            <w:webHidden/>
          </w:rPr>
          <w:instrText xml:space="preserve"> PAGEREF _Toc222380388 \h </w:instrText>
        </w:r>
        <w:r>
          <w:rPr>
            <w:noProof/>
            <w:webHidden/>
          </w:rPr>
        </w:r>
        <w:r>
          <w:rPr>
            <w:noProof/>
            <w:webHidden/>
          </w:rPr>
          <w:fldChar w:fldCharType="separate"/>
        </w:r>
        <w:r>
          <w:rPr>
            <w:noProof/>
            <w:webHidden/>
          </w:rPr>
          <w:t>46</w:t>
        </w:r>
        <w:r>
          <w:rPr>
            <w:noProof/>
            <w:webHidden/>
          </w:rPr>
          <w:fldChar w:fldCharType="end"/>
        </w:r>
      </w:hyperlink>
    </w:p>
    <w:p w14:paraId="7BFA4219" w14:textId="056C7521" w:rsidR="009E0B0E" w:rsidRDefault="009E0B0E">
      <w:pPr>
        <w:pStyle w:val="31"/>
        <w:rPr>
          <w:rFonts w:asciiTheme="minorHAnsi" w:eastAsiaTheme="minorEastAsia" w:hAnsiTheme="minorHAnsi" w:cstheme="minorBidi"/>
          <w:kern w:val="2"/>
          <w14:ligatures w14:val="standardContextual"/>
        </w:rPr>
      </w:pPr>
      <w:hyperlink w:anchor="_Toc222380389" w:history="1">
        <w:r w:rsidRPr="00821DF6">
          <w:rPr>
            <w:rStyle w:val="a3"/>
          </w:rPr>
          <w:t>Группа депутатов Госдумы от КПРФ во главе с лидером партии Геннадием Зюгановым в феврале 2026 года внесла на рассмотрение нижней палаты парламента законопроект о возвращении прежнего пенсионного возраста: 60 лет для мужчин и 55 лет для женщин. Авторы документа считают реформу с повышением возраста выхода на пенсию провальной: она не оправдала ожиданий и негативно отразилась на продолжительности жизни. Эксперт Института экономики роста имени П.А. Столыпина, член генсовета «Деловой России», член ФПС партии «Новые люди» экономист Олег Николаев отмечает, что возвращение к прежнему пенсионному возрасту имеет конкретную цену для бюджета.</w:t>
        </w:r>
        <w:r>
          <w:rPr>
            <w:webHidden/>
          </w:rPr>
          <w:tab/>
        </w:r>
        <w:r>
          <w:rPr>
            <w:webHidden/>
          </w:rPr>
          <w:fldChar w:fldCharType="begin"/>
        </w:r>
        <w:r>
          <w:rPr>
            <w:webHidden/>
          </w:rPr>
          <w:instrText xml:space="preserve"> PAGEREF _Toc222380389 \h </w:instrText>
        </w:r>
        <w:r>
          <w:rPr>
            <w:webHidden/>
          </w:rPr>
        </w:r>
        <w:r>
          <w:rPr>
            <w:webHidden/>
          </w:rPr>
          <w:fldChar w:fldCharType="separate"/>
        </w:r>
        <w:r>
          <w:rPr>
            <w:webHidden/>
          </w:rPr>
          <w:t>46</w:t>
        </w:r>
        <w:r>
          <w:rPr>
            <w:webHidden/>
          </w:rPr>
          <w:fldChar w:fldCharType="end"/>
        </w:r>
      </w:hyperlink>
    </w:p>
    <w:p w14:paraId="4AC6AC79" w14:textId="2DAE3EFE" w:rsidR="009E0B0E" w:rsidRDefault="009E0B0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380390" w:history="1">
        <w:r w:rsidRPr="00821DF6">
          <w:rPr>
            <w:rStyle w:val="a3"/>
            <w:noProof/>
          </w:rPr>
          <w:t>НОВОСТИ МАКРОЭКОНОМИКИ</w:t>
        </w:r>
        <w:r>
          <w:rPr>
            <w:noProof/>
            <w:webHidden/>
          </w:rPr>
          <w:tab/>
        </w:r>
        <w:r>
          <w:rPr>
            <w:noProof/>
            <w:webHidden/>
          </w:rPr>
          <w:fldChar w:fldCharType="begin"/>
        </w:r>
        <w:r>
          <w:rPr>
            <w:noProof/>
            <w:webHidden/>
          </w:rPr>
          <w:instrText xml:space="preserve"> PAGEREF _Toc222380390 \h </w:instrText>
        </w:r>
        <w:r>
          <w:rPr>
            <w:noProof/>
            <w:webHidden/>
          </w:rPr>
        </w:r>
        <w:r>
          <w:rPr>
            <w:noProof/>
            <w:webHidden/>
          </w:rPr>
          <w:fldChar w:fldCharType="separate"/>
        </w:r>
        <w:r>
          <w:rPr>
            <w:noProof/>
            <w:webHidden/>
          </w:rPr>
          <w:t>48</w:t>
        </w:r>
        <w:r>
          <w:rPr>
            <w:noProof/>
            <w:webHidden/>
          </w:rPr>
          <w:fldChar w:fldCharType="end"/>
        </w:r>
      </w:hyperlink>
    </w:p>
    <w:p w14:paraId="42D36D4E" w14:textId="4B3D841C"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91" w:history="1">
        <w:r w:rsidRPr="00821DF6">
          <w:rPr>
            <w:rStyle w:val="a3"/>
            <w:noProof/>
          </w:rPr>
          <w:t>Ведомости, 18.02.2026, Эпоха доминирования розничных инвесторов на фондовом рынке уходит</w:t>
        </w:r>
        <w:r>
          <w:rPr>
            <w:noProof/>
            <w:webHidden/>
          </w:rPr>
          <w:tab/>
        </w:r>
        <w:r>
          <w:rPr>
            <w:noProof/>
            <w:webHidden/>
          </w:rPr>
          <w:fldChar w:fldCharType="begin"/>
        </w:r>
        <w:r>
          <w:rPr>
            <w:noProof/>
            <w:webHidden/>
          </w:rPr>
          <w:instrText xml:space="preserve"> PAGEREF _Toc222380391 \h </w:instrText>
        </w:r>
        <w:r>
          <w:rPr>
            <w:noProof/>
            <w:webHidden/>
          </w:rPr>
        </w:r>
        <w:r>
          <w:rPr>
            <w:noProof/>
            <w:webHidden/>
          </w:rPr>
          <w:fldChar w:fldCharType="separate"/>
        </w:r>
        <w:r>
          <w:rPr>
            <w:noProof/>
            <w:webHidden/>
          </w:rPr>
          <w:t>48</w:t>
        </w:r>
        <w:r>
          <w:rPr>
            <w:noProof/>
            <w:webHidden/>
          </w:rPr>
          <w:fldChar w:fldCharType="end"/>
        </w:r>
      </w:hyperlink>
    </w:p>
    <w:p w14:paraId="441530E3" w14:textId="70969278" w:rsidR="009E0B0E" w:rsidRDefault="009E0B0E">
      <w:pPr>
        <w:pStyle w:val="31"/>
        <w:rPr>
          <w:rFonts w:asciiTheme="minorHAnsi" w:eastAsiaTheme="minorEastAsia" w:hAnsiTheme="minorHAnsi" w:cstheme="minorBidi"/>
          <w:kern w:val="2"/>
          <w14:ligatures w14:val="standardContextual"/>
        </w:rPr>
      </w:pPr>
      <w:hyperlink w:anchor="_Toc222380392" w:history="1">
        <w:r w:rsidRPr="00821DF6">
          <w:rPr>
            <w:rStyle w:val="a3"/>
          </w:rPr>
          <w:t>На фондовом рынке для увеличения его капитализации должен смениться двигатель. Эпоха доминирования эмоциональных розничных инвесторов проходит, ставку необходимо делать на «длинные деньги»: пенсионные накопления (НПФ), программы долгосрочных сбережений (ПДС) и ИИС-3, пишут в новом обзоре ведущий аналитик «Эксперт РА» Татьяна Яковец и управляющий директор по инвестиционным рейтингом агентства и Роман Андреев.</w:t>
        </w:r>
        <w:r>
          <w:rPr>
            <w:webHidden/>
          </w:rPr>
          <w:tab/>
        </w:r>
        <w:r>
          <w:rPr>
            <w:webHidden/>
          </w:rPr>
          <w:fldChar w:fldCharType="begin"/>
        </w:r>
        <w:r>
          <w:rPr>
            <w:webHidden/>
          </w:rPr>
          <w:instrText xml:space="preserve"> PAGEREF _Toc222380392 \h </w:instrText>
        </w:r>
        <w:r>
          <w:rPr>
            <w:webHidden/>
          </w:rPr>
        </w:r>
        <w:r>
          <w:rPr>
            <w:webHidden/>
          </w:rPr>
          <w:fldChar w:fldCharType="separate"/>
        </w:r>
        <w:r>
          <w:rPr>
            <w:webHidden/>
          </w:rPr>
          <w:t>48</w:t>
        </w:r>
        <w:r>
          <w:rPr>
            <w:webHidden/>
          </w:rPr>
          <w:fldChar w:fldCharType="end"/>
        </w:r>
      </w:hyperlink>
    </w:p>
    <w:p w14:paraId="7C014F59" w14:textId="09195E3E"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93" w:history="1">
        <w:r w:rsidRPr="00821DF6">
          <w:rPr>
            <w:rStyle w:val="a3"/>
            <w:noProof/>
          </w:rPr>
          <w:t>Ведомости, 19.02.2026, Молодежь все активнее инвестирует на фондовом рынке</w:t>
        </w:r>
        <w:r>
          <w:rPr>
            <w:noProof/>
            <w:webHidden/>
          </w:rPr>
          <w:tab/>
        </w:r>
        <w:r>
          <w:rPr>
            <w:noProof/>
            <w:webHidden/>
          </w:rPr>
          <w:fldChar w:fldCharType="begin"/>
        </w:r>
        <w:r>
          <w:rPr>
            <w:noProof/>
            <w:webHidden/>
          </w:rPr>
          <w:instrText xml:space="preserve"> PAGEREF _Toc222380393 \h </w:instrText>
        </w:r>
        <w:r>
          <w:rPr>
            <w:noProof/>
            <w:webHidden/>
          </w:rPr>
        </w:r>
        <w:r>
          <w:rPr>
            <w:noProof/>
            <w:webHidden/>
          </w:rPr>
          <w:fldChar w:fldCharType="separate"/>
        </w:r>
        <w:r>
          <w:rPr>
            <w:noProof/>
            <w:webHidden/>
          </w:rPr>
          <w:t>51</w:t>
        </w:r>
        <w:r>
          <w:rPr>
            <w:noProof/>
            <w:webHidden/>
          </w:rPr>
          <w:fldChar w:fldCharType="end"/>
        </w:r>
      </w:hyperlink>
    </w:p>
    <w:p w14:paraId="594E1632" w14:textId="3A30E197" w:rsidR="009E0B0E" w:rsidRDefault="009E0B0E">
      <w:pPr>
        <w:pStyle w:val="31"/>
        <w:rPr>
          <w:rFonts w:asciiTheme="minorHAnsi" w:eastAsiaTheme="minorEastAsia" w:hAnsiTheme="minorHAnsi" w:cstheme="minorBidi"/>
          <w:kern w:val="2"/>
          <w14:ligatures w14:val="standardContextual"/>
        </w:rPr>
      </w:pPr>
      <w:hyperlink w:anchor="_Toc222380394" w:history="1">
        <w:r w:rsidRPr="00821DF6">
          <w:rPr>
            <w:rStyle w:val="a3"/>
          </w:rPr>
          <w:t>Молодежь все активнее увлекается инвестициями: доля самых молодых инвесторов в возрасте 18-19 лет по итогам 2025 г. увеличилась вдвое и составила 3,7%. Такие данные приводятся в совместном исследовании "Т-инвестиций" и Лаборатории инвестиционных исследований Центрального университета.</w:t>
        </w:r>
        <w:r>
          <w:rPr>
            <w:webHidden/>
          </w:rPr>
          <w:tab/>
        </w:r>
        <w:r>
          <w:rPr>
            <w:webHidden/>
          </w:rPr>
          <w:fldChar w:fldCharType="begin"/>
        </w:r>
        <w:r>
          <w:rPr>
            <w:webHidden/>
          </w:rPr>
          <w:instrText xml:space="preserve"> PAGEREF _Toc222380394 \h </w:instrText>
        </w:r>
        <w:r>
          <w:rPr>
            <w:webHidden/>
          </w:rPr>
        </w:r>
        <w:r>
          <w:rPr>
            <w:webHidden/>
          </w:rPr>
          <w:fldChar w:fldCharType="separate"/>
        </w:r>
        <w:r>
          <w:rPr>
            <w:webHidden/>
          </w:rPr>
          <w:t>51</w:t>
        </w:r>
        <w:r>
          <w:rPr>
            <w:webHidden/>
          </w:rPr>
          <w:fldChar w:fldCharType="end"/>
        </w:r>
      </w:hyperlink>
    </w:p>
    <w:p w14:paraId="23B66896" w14:textId="60BE582C"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95" w:history="1">
        <w:r w:rsidRPr="00821DF6">
          <w:rPr>
            <w:rStyle w:val="a3"/>
            <w:noProof/>
          </w:rPr>
          <w:t xml:space="preserve">Рейтинговое агентство Эксперт РА, 18.02.2026, </w:t>
        </w:r>
        <w:r w:rsidRPr="00821DF6">
          <w:rPr>
            <w:rStyle w:val="a3"/>
            <w:rFonts w:eastAsia="Verdana"/>
            <w:noProof/>
          </w:rPr>
          <w:t>Ключи от капитализации: ставка, спрос и IPO</w:t>
        </w:r>
        <w:r>
          <w:rPr>
            <w:noProof/>
            <w:webHidden/>
          </w:rPr>
          <w:tab/>
        </w:r>
        <w:r>
          <w:rPr>
            <w:noProof/>
            <w:webHidden/>
          </w:rPr>
          <w:fldChar w:fldCharType="begin"/>
        </w:r>
        <w:r>
          <w:rPr>
            <w:noProof/>
            <w:webHidden/>
          </w:rPr>
          <w:instrText xml:space="preserve"> PAGEREF _Toc222380395 \h </w:instrText>
        </w:r>
        <w:r>
          <w:rPr>
            <w:noProof/>
            <w:webHidden/>
          </w:rPr>
        </w:r>
        <w:r>
          <w:rPr>
            <w:noProof/>
            <w:webHidden/>
          </w:rPr>
          <w:fldChar w:fldCharType="separate"/>
        </w:r>
        <w:r>
          <w:rPr>
            <w:noProof/>
            <w:webHidden/>
          </w:rPr>
          <w:t>54</w:t>
        </w:r>
        <w:r>
          <w:rPr>
            <w:noProof/>
            <w:webHidden/>
          </w:rPr>
          <w:fldChar w:fldCharType="end"/>
        </w:r>
      </w:hyperlink>
    </w:p>
    <w:p w14:paraId="27D715F7" w14:textId="788D4249" w:rsidR="009E0B0E" w:rsidRDefault="009E0B0E">
      <w:pPr>
        <w:pStyle w:val="31"/>
        <w:rPr>
          <w:rFonts w:asciiTheme="minorHAnsi" w:eastAsiaTheme="minorEastAsia" w:hAnsiTheme="minorHAnsi" w:cstheme="minorBidi"/>
          <w:kern w:val="2"/>
          <w14:ligatures w14:val="standardContextual"/>
        </w:rPr>
      </w:pPr>
      <w:hyperlink w:anchor="_Toc222380396" w:history="1">
        <w:r w:rsidRPr="00821DF6">
          <w:rPr>
            <w:rStyle w:val="a3"/>
          </w:rPr>
          <w:t>За последние пять лет российский фондовый рынок прошел через череду шоков и структурных трансформаций, которые привели к формированию автономной модели функционирования, опирающейся на внутренний капитал и локальную инфраструктуру. Пандемия и низкие ставки в 2020-2021 годах спровоцировали массовый приток розничных инвесторов на биржу в поисках доходности, а присутствие иностранных институциональных инвесторов обеспечивало рынок капиталом.</w:t>
        </w:r>
        <w:r>
          <w:rPr>
            <w:webHidden/>
          </w:rPr>
          <w:tab/>
        </w:r>
        <w:r>
          <w:rPr>
            <w:webHidden/>
          </w:rPr>
          <w:fldChar w:fldCharType="begin"/>
        </w:r>
        <w:r>
          <w:rPr>
            <w:webHidden/>
          </w:rPr>
          <w:instrText xml:space="preserve"> PAGEREF _Toc222380396 \h </w:instrText>
        </w:r>
        <w:r>
          <w:rPr>
            <w:webHidden/>
          </w:rPr>
        </w:r>
        <w:r>
          <w:rPr>
            <w:webHidden/>
          </w:rPr>
          <w:fldChar w:fldCharType="separate"/>
        </w:r>
        <w:r>
          <w:rPr>
            <w:webHidden/>
          </w:rPr>
          <w:t>54</w:t>
        </w:r>
        <w:r>
          <w:rPr>
            <w:webHidden/>
          </w:rPr>
          <w:fldChar w:fldCharType="end"/>
        </w:r>
      </w:hyperlink>
    </w:p>
    <w:p w14:paraId="0172658C" w14:textId="2D490D80"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97" w:history="1">
        <w:r w:rsidRPr="00821DF6">
          <w:rPr>
            <w:rStyle w:val="a3"/>
            <w:noProof/>
          </w:rPr>
          <w:t xml:space="preserve">Монокль, 18.02.2026, Прогноз «Монокля» по росту числа </w:t>
        </w:r>
        <w:r w:rsidRPr="00821DF6">
          <w:rPr>
            <w:rStyle w:val="a3"/>
            <w:noProof/>
            <w:lang w:val="en-US"/>
          </w:rPr>
          <w:t>IPO</w:t>
        </w:r>
        <w:r w:rsidRPr="00821DF6">
          <w:rPr>
            <w:rStyle w:val="a3"/>
            <w:noProof/>
          </w:rPr>
          <w:t xml:space="preserve"> становится все вероятнее</w:t>
        </w:r>
        <w:r>
          <w:rPr>
            <w:noProof/>
            <w:webHidden/>
          </w:rPr>
          <w:tab/>
        </w:r>
        <w:r>
          <w:rPr>
            <w:noProof/>
            <w:webHidden/>
          </w:rPr>
          <w:fldChar w:fldCharType="begin"/>
        </w:r>
        <w:r>
          <w:rPr>
            <w:noProof/>
            <w:webHidden/>
          </w:rPr>
          <w:instrText xml:space="preserve"> PAGEREF _Toc222380397 \h </w:instrText>
        </w:r>
        <w:r>
          <w:rPr>
            <w:noProof/>
            <w:webHidden/>
          </w:rPr>
        </w:r>
        <w:r>
          <w:rPr>
            <w:noProof/>
            <w:webHidden/>
          </w:rPr>
          <w:fldChar w:fldCharType="separate"/>
        </w:r>
        <w:r>
          <w:rPr>
            <w:noProof/>
            <w:webHidden/>
          </w:rPr>
          <w:t>66</w:t>
        </w:r>
        <w:r>
          <w:rPr>
            <w:noProof/>
            <w:webHidden/>
          </w:rPr>
          <w:fldChar w:fldCharType="end"/>
        </w:r>
      </w:hyperlink>
    </w:p>
    <w:p w14:paraId="1CAE63E9" w14:textId="63D5FB53" w:rsidR="009E0B0E" w:rsidRDefault="009E0B0E">
      <w:pPr>
        <w:pStyle w:val="31"/>
        <w:rPr>
          <w:rFonts w:asciiTheme="minorHAnsi" w:eastAsiaTheme="minorEastAsia" w:hAnsiTheme="minorHAnsi" w:cstheme="minorBidi"/>
          <w:kern w:val="2"/>
          <w14:ligatures w14:val="standardContextual"/>
        </w:rPr>
      </w:pPr>
      <w:hyperlink w:anchor="_Toc222380398" w:history="1">
        <w:r w:rsidRPr="00821DF6">
          <w:rPr>
            <w:rStyle w:val="a3"/>
          </w:rPr>
          <w:t>Аналитические центры повторяют и подтверждают прогнозные ориентиры, а активность государства не только обеспечивает рост числа первичных размещений, но и планирует его, что прежде казалось невозможным. Впрочем, меры по развитию фондового рынка видятся недостаточными самому государству и 1 марта президенту должно быть доложено о новых идеях.</w:t>
        </w:r>
        <w:r>
          <w:rPr>
            <w:webHidden/>
          </w:rPr>
          <w:tab/>
        </w:r>
        <w:r>
          <w:rPr>
            <w:webHidden/>
          </w:rPr>
          <w:fldChar w:fldCharType="begin"/>
        </w:r>
        <w:r>
          <w:rPr>
            <w:webHidden/>
          </w:rPr>
          <w:instrText xml:space="preserve"> PAGEREF _Toc222380398 \h </w:instrText>
        </w:r>
        <w:r>
          <w:rPr>
            <w:webHidden/>
          </w:rPr>
        </w:r>
        <w:r>
          <w:rPr>
            <w:webHidden/>
          </w:rPr>
          <w:fldChar w:fldCharType="separate"/>
        </w:r>
        <w:r>
          <w:rPr>
            <w:webHidden/>
          </w:rPr>
          <w:t>66</w:t>
        </w:r>
        <w:r>
          <w:rPr>
            <w:webHidden/>
          </w:rPr>
          <w:fldChar w:fldCharType="end"/>
        </w:r>
      </w:hyperlink>
    </w:p>
    <w:p w14:paraId="693B9006" w14:textId="571C1359"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399" w:history="1">
        <w:r w:rsidRPr="00821DF6">
          <w:rPr>
            <w:rStyle w:val="a3"/>
            <w:noProof/>
          </w:rPr>
          <w:t>Ведомости, 19.02.2026, Бизнес призвал увеличить перечень не облагаемых налогом социальных расходов</w:t>
        </w:r>
        <w:r>
          <w:rPr>
            <w:noProof/>
            <w:webHidden/>
          </w:rPr>
          <w:tab/>
        </w:r>
        <w:r>
          <w:rPr>
            <w:noProof/>
            <w:webHidden/>
          </w:rPr>
          <w:fldChar w:fldCharType="begin"/>
        </w:r>
        <w:r>
          <w:rPr>
            <w:noProof/>
            <w:webHidden/>
          </w:rPr>
          <w:instrText xml:space="preserve"> PAGEREF _Toc222380399 \h </w:instrText>
        </w:r>
        <w:r>
          <w:rPr>
            <w:noProof/>
            <w:webHidden/>
          </w:rPr>
        </w:r>
        <w:r>
          <w:rPr>
            <w:noProof/>
            <w:webHidden/>
          </w:rPr>
          <w:fldChar w:fldCharType="separate"/>
        </w:r>
        <w:r>
          <w:rPr>
            <w:noProof/>
            <w:webHidden/>
          </w:rPr>
          <w:t>69</w:t>
        </w:r>
        <w:r>
          <w:rPr>
            <w:noProof/>
            <w:webHidden/>
          </w:rPr>
          <w:fldChar w:fldCharType="end"/>
        </w:r>
      </w:hyperlink>
    </w:p>
    <w:p w14:paraId="2D112C3B" w14:textId="25B702E7" w:rsidR="009E0B0E" w:rsidRDefault="009E0B0E">
      <w:pPr>
        <w:pStyle w:val="31"/>
        <w:rPr>
          <w:rFonts w:asciiTheme="minorHAnsi" w:eastAsiaTheme="minorEastAsia" w:hAnsiTheme="minorHAnsi" w:cstheme="minorBidi"/>
          <w:kern w:val="2"/>
          <w14:ligatures w14:val="standardContextual"/>
        </w:rPr>
      </w:pPr>
      <w:hyperlink w:anchor="_Toc222380400" w:history="1">
        <w:r w:rsidRPr="00821DF6">
          <w:rPr>
            <w:rStyle w:val="a3"/>
          </w:rPr>
          <w:t>Российский союз промышленников и предпринимателей (РСПП) предложил властям расширить перечень не облагаемых налогами расходов компаний, направленных на поддержку семей с детьми. Об этом рассказал президент союза Александр Шохин в ходе форума "Ответственная деловая практика: социальные аспекты вклада бизнеса в достижение национальных целей" в рамках Недели российского бизнеса.</w:t>
        </w:r>
        <w:r>
          <w:rPr>
            <w:webHidden/>
          </w:rPr>
          <w:tab/>
        </w:r>
        <w:r>
          <w:rPr>
            <w:webHidden/>
          </w:rPr>
          <w:fldChar w:fldCharType="begin"/>
        </w:r>
        <w:r>
          <w:rPr>
            <w:webHidden/>
          </w:rPr>
          <w:instrText xml:space="preserve"> PAGEREF _Toc222380400 \h </w:instrText>
        </w:r>
        <w:r>
          <w:rPr>
            <w:webHidden/>
          </w:rPr>
        </w:r>
        <w:r>
          <w:rPr>
            <w:webHidden/>
          </w:rPr>
          <w:fldChar w:fldCharType="separate"/>
        </w:r>
        <w:r>
          <w:rPr>
            <w:webHidden/>
          </w:rPr>
          <w:t>69</w:t>
        </w:r>
        <w:r>
          <w:rPr>
            <w:webHidden/>
          </w:rPr>
          <w:fldChar w:fldCharType="end"/>
        </w:r>
      </w:hyperlink>
    </w:p>
    <w:p w14:paraId="06DAA0C3" w14:textId="3DF7B441"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01" w:history="1">
        <w:r w:rsidRPr="00821DF6">
          <w:rPr>
            <w:rStyle w:val="a3"/>
            <w:noProof/>
          </w:rPr>
          <w:t>РИА Новости, 18.02.2026, Банк России составил портрет руководителя финансовой организации</w:t>
        </w:r>
        <w:r>
          <w:rPr>
            <w:noProof/>
            <w:webHidden/>
          </w:rPr>
          <w:tab/>
        </w:r>
        <w:r>
          <w:rPr>
            <w:noProof/>
            <w:webHidden/>
          </w:rPr>
          <w:fldChar w:fldCharType="begin"/>
        </w:r>
        <w:r>
          <w:rPr>
            <w:noProof/>
            <w:webHidden/>
          </w:rPr>
          <w:instrText xml:space="preserve"> PAGEREF _Toc222380401 \h </w:instrText>
        </w:r>
        <w:r>
          <w:rPr>
            <w:noProof/>
            <w:webHidden/>
          </w:rPr>
        </w:r>
        <w:r>
          <w:rPr>
            <w:noProof/>
            <w:webHidden/>
          </w:rPr>
          <w:fldChar w:fldCharType="separate"/>
        </w:r>
        <w:r>
          <w:rPr>
            <w:noProof/>
            <w:webHidden/>
          </w:rPr>
          <w:t>72</w:t>
        </w:r>
        <w:r>
          <w:rPr>
            <w:noProof/>
            <w:webHidden/>
          </w:rPr>
          <w:fldChar w:fldCharType="end"/>
        </w:r>
      </w:hyperlink>
    </w:p>
    <w:p w14:paraId="0C561DB4" w14:textId="1DA4FF44" w:rsidR="009E0B0E" w:rsidRDefault="009E0B0E">
      <w:pPr>
        <w:pStyle w:val="31"/>
        <w:rPr>
          <w:rFonts w:asciiTheme="minorHAnsi" w:eastAsiaTheme="minorEastAsia" w:hAnsiTheme="minorHAnsi" w:cstheme="minorBidi"/>
          <w:kern w:val="2"/>
          <w14:ligatures w14:val="standardContextual"/>
        </w:rPr>
      </w:pPr>
      <w:hyperlink w:anchor="_Toc222380402" w:history="1">
        <w:r w:rsidRPr="00821DF6">
          <w:rPr>
            <w:rStyle w:val="a3"/>
          </w:rPr>
          <w:t>ЦБ РФ составил портрет типичного руководителя финансовой организации - им стал мужчина в возрасте 50 лет, с высшим образованием, занимающий свою должность около пяти лет, следует из материалов Банка России.</w:t>
        </w:r>
        <w:r>
          <w:rPr>
            <w:webHidden/>
          </w:rPr>
          <w:tab/>
        </w:r>
        <w:r>
          <w:rPr>
            <w:webHidden/>
          </w:rPr>
          <w:fldChar w:fldCharType="begin"/>
        </w:r>
        <w:r>
          <w:rPr>
            <w:webHidden/>
          </w:rPr>
          <w:instrText xml:space="preserve"> PAGEREF _Toc222380402 \h </w:instrText>
        </w:r>
        <w:r>
          <w:rPr>
            <w:webHidden/>
          </w:rPr>
        </w:r>
        <w:r>
          <w:rPr>
            <w:webHidden/>
          </w:rPr>
          <w:fldChar w:fldCharType="separate"/>
        </w:r>
        <w:r>
          <w:rPr>
            <w:webHidden/>
          </w:rPr>
          <w:t>72</w:t>
        </w:r>
        <w:r>
          <w:rPr>
            <w:webHidden/>
          </w:rPr>
          <w:fldChar w:fldCharType="end"/>
        </w:r>
      </w:hyperlink>
    </w:p>
    <w:p w14:paraId="5EBE3318" w14:textId="339DD842"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03" w:history="1">
        <w:r w:rsidRPr="00821DF6">
          <w:rPr>
            <w:rStyle w:val="a3"/>
            <w:noProof/>
          </w:rPr>
          <w:t>ТАСС, 18.02.2026, Минфин заявил об интересе более ста компаний в участии рынка капитала</w:t>
        </w:r>
        <w:r>
          <w:rPr>
            <w:noProof/>
            <w:webHidden/>
          </w:rPr>
          <w:tab/>
        </w:r>
        <w:r>
          <w:rPr>
            <w:noProof/>
            <w:webHidden/>
          </w:rPr>
          <w:fldChar w:fldCharType="begin"/>
        </w:r>
        <w:r>
          <w:rPr>
            <w:noProof/>
            <w:webHidden/>
          </w:rPr>
          <w:instrText xml:space="preserve"> PAGEREF _Toc222380403 \h </w:instrText>
        </w:r>
        <w:r>
          <w:rPr>
            <w:noProof/>
            <w:webHidden/>
          </w:rPr>
        </w:r>
        <w:r>
          <w:rPr>
            <w:noProof/>
            <w:webHidden/>
          </w:rPr>
          <w:fldChar w:fldCharType="separate"/>
        </w:r>
        <w:r>
          <w:rPr>
            <w:noProof/>
            <w:webHidden/>
          </w:rPr>
          <w:t>72</w:t>
        </w:r>
        <w:r>
          <w:rPr>
            <w:noProof/>
            <w:webHidden/>
          </w:rPr>
          <w:fldChar w:fldCharType="end"/>
        </w:r>
      </w:hyperlink>
    </w:p>
    <w:p w14:paraId="41BAFC1B" w14:textId="08E66FFB" w:rsidR="009E0B0E" w:rsidRDefault="009E0B0E">
      <w:pPr>
        <w:pStyle w:val="31"/>
        <w:rPr>
          <w:rFonts w:asciiTheme="minorHAnsi" w:eastAsiaTheme="minorEastAsia" w:hAnsiTheme="minorHAnsi" w:cstheme="minorBidi"/>
          <w:kern w:val="2"/>
          <w14:ligatures w14:val="standardContextual"/>
        </w:rPr>
      </w:pPr>
      <w:hyperlink w:anchor="_Toc222380404" w:history="1">
        <w:r w:rsidRPr="00821DF6">
          <w:rPr>
            <w:rStyle w:val="a3"/>
          </w:rPr>
          <w:t>Минфин наблюдает заинтересованность более 100 компаний в участии рынка капитала, однако их останавливает незнание и дороговизна таких процедур. Об этом сообщил заместитель директора департамента финансовой политики Минфина РФ Павел Шахлевич в ходе пленарной сессии форума «Будущее рынка акций».</w:t>
        </w:r>
        <w:r>
          <w:rPr>
            <w:webHidden/>
          </w:rPr>
          <w:tab/>
        </w:r>
        <w:r>
          <w:rPr>
            <w:webHidden/>
          </w:rPr>
          <w:fldChar w:fldCharType="begin"/>
        </w:r>
        <w:r>
          <w:rPr>
            <w:webHidden/>
          </w:rPr>
          <w:instrText xml:space="preserve"> PAGEREF _Toc222380404 \h </w:instrText>
        </w:r>
        <w:r>
          <w:rPr>
            <w:webHidden/>
          </w:rPr>
        </w:r>
        <w:r>
          <w:rPr>
            <w:webHidden/>
          </w:rPr>
          <w:fldChar w:fldCharType="separate"/>
        </w:r>
        <w:r>
          <w:rPr>
            <w:webHidden/>
          </w:rPr>
          <w:t>72</w:t>
        </w:r>
        <w:r>
          <w:rPr>
            <w:webHidden/>
          </w:rPr>
          <w:fldChar w:fldCharType="end"/>
        </w:r>
      </w:hyperlink>
    </w:p>
    <w:p w14:paraId="3D667039" w14:textId="64B6FED6"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05" w:history="1">
        <w:r w:rsidRPr="00821DF6">
          <w:rPr>
            <w:rStyle w:val="a3"/>
            <w:noProof/>
          </w:rPr>
          <w:t>Интерфакс, 18.02.2026, Правительство не поддержало законопроект о механизме выпуска ЦФА под залог ипотеки</w:t>
        </w:r>
        <w:r>
          <w:rPr>
            <w:noProof/>
            <w:webHidden/>
          </w:rPr>
          <w:tab/>
        </w:r>
        <w:r>
          <w:rPr>
            <w:noProof/>
            <w:webHidden/>
          </w:rPr>
          <w:fldChar w:fldCharType="begin"/>
        </w:r>
        <w:r>
          <w:rPr>
            <w:noProof/>
            <w:webHidden/>
          </w:rPr>
          <w:instrText xml:space="preserve"> PAGEREF _Toc222380405 \h </w:instrText>
        </w:r>
        <w:r>
          <w:rPr>
            <w:noProof/>
            <w:webHidden/>
          </w:rPr>
        </w:r>
        <w:r>
          <w:rPr>
            <w:noProof/>
            <w:webHidden/>
          </w:rPr>
          <w:fldChar w:fldCharType="separate"/>
        </w:r>
        <w:r>
          <w:rPr>
            <w:noProof/>
            <w:webHidden/>
          </w:rPr>
          <w:t>73</w:t>
        </w:r>
        <w:r>
          <w:rPr>
            <w:noProof/>
            <w:webHidden/>
          </w:rPr>
          <w:fldChar w:fldCharType="end"/>
        </w:r>
      </w:hyperlink>
    </w:p>
    <w:p w14:paraId="1DEC2170" w14:textId="58A043BA" w:rsidR="009E0B0E" w:rsidRDefault="009E0B0E">
      <w:pPr>
        <w:pStyle w:val="31"/>
        <w:rPr>
          <w:rFonts w:asciiTheme="minorHAnsi" w:eastAsiaTheme="minorEastAsia" w:hAnsiTheme="minorHAnsi" w:cstheme="minorBidi"/>
          <w:kern w:val="2"/>
          <w14:ligatures w14:val="standardContextual"/>
        </w:rPr>
      </w:pPr>
      <w:hyperlink w:anchor="_Toc222380406" w:history="1">
        <w:r w:rsidRPr="00821DF6">
          <w:rPr>
            <w:rStyle w:val="a3"/>
          </w:rPr>
          <w:t>Правительство не поддержало депутатский законопроект № 1087365-8, который предлагал ввести специальный правовой механизм регистрации ипотеки в качестве обеспечения по цифровым финансовым активам (ЦФА).</w:t>
        </w:r>
        <w:r>
          <w:rPr>
            <w:webHidden/>
          </w:rPr>
          <w:tab/>
        </w:r>
        <w:r>
          <w:rPr>
            <w:webHidden/>
          </w:rPr>
          <w:fldChar w:fldCharType="begin"/>
        </w:r>
        <w:r>
          <w:rPr>
            <w:webHidden/>
          </w:rPr>
          <w:instrText xml:space="preserve"> PAGEREF _Toc222380406 \h </w:instrText>
        </w:r>
        <w:r>
          <w:rPr>
            <w:webHidden/>
          </w:rPr>
        </w:r>
        <w:r>
          <w:rPr>
            <w:webHidden/>
          </w:rPr>
          <w:fldChar w:fldCharType="separate"/>
        </w:r>
        <w:r>
          <w:rPr>
            <w:webHidden/>
          </w:rPr>
          <w:t>73</w:t>
        </w:r>
        <w:r>
          <w:rPr>
            <w:webHidden/>
          </w:rPr>
          <w:fldChar w:fldCharType="end"/>
        </w:r>
      </w:hyperlink>
    </w:p>
    <w:p w14:paraId="06CB7A4A" w14:textId="6802A551"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07" w:history="1">
        <w:r w:rsidRPr="00821DF6">
          <w:rPr>
            <w:rStyle w:val="a3"/>
            <w:noProof/>
          </w:rPr>
          <w:t>Интерфакс, 18.02.2026, Минфин 18 февраля разместил рекордный за последние три месяца объем ОФЗ</w:t>
        </w:r>
        <w:r>
          <w:rPr>
            <w:noProof/>
            <w:webHidden/>
          </w:rPr>
          <w:tab/>
        </w:r>
        <w:r>
          <w:rPr>
            <w:noProof/>
            <w:webHidden/>
          </w:rPr>
          <w:fldChar w:fldCharType="begin"/>
        </w:r>
        <w:r>
          <w:rPr>
            <w:noProof/>
            <w:webHidden/>
          </w:rPr>
          <w:instrText xml:space="preserve"> PAGEREF _Toc222380407 \h </w:instrText>
        </w:r>
        <w:r>
          <w:rPr>
            <w:noProof/>
            <w:webHidden/>
          </w:rPr>
        </w:r>
        <w:r>
          <w:rPr>
            <w:noProof/>
            <w:webHidden/>
          </w:rPr>
          <w:fldChar w:fldCharType="separate"/>
        </w:r>
        <w:r>
          <w:rPr>
            <w:noProof/>
            <w:webHidden/>
          </w:rPr>
          <w:t>74</w:t>
        </w:r>
        <w:r>
          <w:rPr>
            <w:noProof/>
            <w:webHidden/>
          </w:rPr>
          <w:fldChar w:fldCharType="end"/>
        </w:r>
      </w:hyperlink>
    </w:p>
    <w:p w14:paraId="471F2FFD" w14:textId="62DF69E3" w:rsidR="009E0B0E" w:rsidRDefault="009E0B0E">
      <w:pPr>
        <w:pStyle w:val="31"/>
        <w:rPr>
          <w:rFonts w:asciiTheme="minorHAnsi" w:eastAsiaTheme="minorEastAsia" w:hAnsiTheme="minorHAnsi" w:cstheme="minorBidi"/>
          <w:kern w:val="2"/>
          <w14:ligatures w14:val="standardContextual"/>
        </w:rPr>
      </w:pPr>
      <w:hyperlink w:anchor="_Toc222380408" w:history="1">
        <w:r w:rsidRPr="00821DF6">
          <w:rPr>
            <w:rStyle w:val="a3"/>
          </w:rPr>
          <w:t>Министерство финансов России 18 февраля разместило на двух запланированных первичных аукционах рекордный за последние три месяца (с 12 ноября 2025 года) объем облигаций федерального займа - на сумму 327,473 млрд рублей по номиналу.</w:t>
        </w:r>
        <w:r>
          <w:rPr>
            <w:webHidden/>
          </w:rPr>
          <w:tab/>
        </w:r>
        <w:r>
          <w:rPr>
            <w:webHidden/>
          </w:rPr>
          <w:fldChar w:fldCharType="begin"/>
        </w:r>
        <w:r>
          <w:rPr>
            <w:webHidden/>
          </w:rPr>
          <w:instrText xml:space="preserve"> PAGEREF _Toc222380408 \h </w:instrText>
        </w:r>
        <w:r>
          <w:rPr>
            <w:webHidden/>
          </w:rPr>
        </w:r>
        <w:r>
          <w:rPr>
            <w:webHidden/>
          </w:rPr>
          <w:fldChar w:fldCharType="separate"/>
        </w:r>
        <w:r>
          <w:rPr>
            <w:webHidden/>
          </w:rPr>
          <w:t>74</w:t>
        </w:r>
        <w:r>
          <w:rPr>
            <w:webHidden/>
          </w:rPr>
          <w:fldChar w:fldCharType="end"/>
        </w:r>
      </w:hyperlink>
    </w:p>
    <w:p w14:paraId="1280E537" w14:textId="5E8219A3"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09" w:history="1">
        <w:r w:rsidRPr="00821DF6">
          <w:rPr>
            <w:rStyle w:val="a3"/>
            <w:noProof/>
          </w:rPr>
          <w:t>ТАСС, 18.02.2026, Набиуллина назвала абсолютно устойчивой банковскую систему России</w:t>
        </w:r>
        <w:r>
          <w:rPr>
            <w:noProof/>
            <w:webHidden/>
          </w:rPr>
          <w:tab/>
        </w:r>
        <w:r>
          <w:rPr>
            <w:noProof/>
            <w:webHidden/>
          </w:rPr>
          <w:fldChar w:fldCharType="begin"/>
        </w:r>
        <w:r>
          <w:rPr>
            <w:noProof/>
            <w:webHidden/>
          </w:rPr>
          <w:instrText xml:space="preserve"> PAGEREF _Toc222380409 \h </w:instrText>
        </w:r>
        <w:r>
          <w:rPr>
            <w:noProof/>
            <w:webHidden/>
          </w:rPr>
        </w:r>
        <w:r>
          <w:rPr>
            <w:noProof/>
            <w:webHidden/>
          </w:rPr>
          <w:fldChar w:fldCharType="separate"/>
        </w:r>
        <w:r>
          <w:rPr>
            <w:noProof/>
            <w:webHidden/>
          </w:rPr>
          <w:t>75</w:t>
        </w:r>
        <w:r>
          <w:rPr>
            <w:noProof/>
            <w:webHidden/>
          </w:rPr>
          <w:fldChar w:fldCharType="end"/>
        </w:r>
      </w:hyperlink>
    </w:p>
    <w:p w14:paraId="75E61C75" w14:textId="69C3BF7A" w:rsidR="009E0B0E" w:rsidRDefault="009E0B0E">
      <w:pPr>
        <w:pStyle w:val="31"/>
        <w:rPr>
          <w:rFonts w:asciiTheme="minorHAnsi" w:eastAsiaTheme="minorEastAsia" w:hAnsiTheme="minorHAnsi" w:cstheme="minorBidi"/>
          <w:kern w:val="2"/>
          <w14:ligatures w14:val="standardContextual"/>
        </w:rPr>
      </w:pPr>
      <w:hyperlink w:anchor="_Toc222380410" w:history="1">
        <w:r w:rsidRPr="00821DF6">
          <w:rPr>
            <w:rStyle w:val="a3"/>
          </w:rPr>
          <w:t>Кредитные организации имеют достаточно капитала для наращивания кредитования экономики, банковская система абсолютно устойчива. Об этом заявила глава Банка России Эльвира Набиуллина на совещании с президентом РФ Владимиром Путиным.</w:t>
        </w:r>
        <w:r>
          <w:rPr>
            <w:webHidden/>
          </w:rPr>
          <w:tab/>
        </w:r>
        <w:r>
          <w:rPr>
            <w:webHidden/>
          </w:rPr>
          <w:fldChar w:fldCharType="begin"/>
        </w:r>
        <w:r>
          <w:rPr>
            <w:webHidden/>
          </w:rPr>
          <w:instrText xml:space="preserve"> PAGEREF _Toc222380410 \h </w:instrText>
        </w:r>
        <w:r>
          <w:rPr>
            <w:webHidden/>
          </w:rPr>
        </w:r>
        <w:r>
          <w:rPr>
            <w:webHidden/>
          </w:rPr>
          <w:fldChar w:fldCharType="separate"/>
        </w:r>
        <w:r>
          <w:rPr>
            <w:webHidden/>
          </w:rPr>
          <w:t>75</w:t>
        </w:r>
        <w:r>
          <w:rPr>
            <w:webHidden/>
          </w:rPr>
          <w:fldChar w:fldCharType="end"/>
        </w:r>
      </w:hyperlink>
    </w:p>
    <w:p w14:paraId="17DEBE86" w14:textId="27E25C60"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11" w:history="1">
        <w:r w:rsidRPr="00821DF6">
          <w:rPr>
            <w:rStyle w:val="a3"/>
            <w:noProof/>
          </w:rPr>
          <w:t>Интерфакс, 18.02.2026, Костин призвал ускорить легализацию рынка криптовалют в РФ</w:t>
        </w:r>
        <w:r>
          <w:rPr>
            <w:noProof/>
            <w:webHidden/>
          </w:rPr>
          <w:tab/>
        </w:r>
        <w:r>
          <w:rPr>
            <w:noProof/>
            <w:webHidden/>
          </w:rPr>
          <w:fldChar w:fldCharType="begin"/>
        </w:r>
        <w:r>
          <w:rPr>
            <w:noProof/>
            <w:webHidden/>
          </w:rPr>
          <w:instrText xml:space="preserve"> PAGEREF _Toc222380411 \h </w:instrText>
        </w:r>
        <w:r>
          <w:rPr>
            <w:noProof/>
            <w:webHidden/>
          </w:rPr>
        </w:r>
        <w:r>
          <w:rPr>
            <w:noProof/>
            <w:webHidden/>
          </w:rPr>
          <w:fldChar w:fldCharType="separate"/>
        </w:r>
        <w:r>
          <w:rPr>
            <w:noProof/>
            <w:webHidden/>
          </w:rPr>
          <w:t>75</w:t>
        </w:r>
        <w:r>
          <w:rPr>
            <w:noProof/>
            <w:webHidden/>
          </w:rPr>
          <w:fldChar w:fldCharType="end"/>
        </w:r>
      </w:hyperlink>
    </w:p>
    <w:p w14:paraId="573FE4A2" w14:textId="0C7C8121" w:rsidR="009E0B0E" w:rsidRDefault="009E0B0E">
      <w:pPr>
        <w:pStyle w:val="31"/>
        <w:rPr>
          <w:rFonts w:asciiTheme="minorHAnsi" w:eastAsiaTheme="minorEastAsia" w:hAnsiTheme="minorHAnsi" w:cstheme="minorBidi"/>
          <w:kern w:val="2"/>
          <w14:ligatures w14:val="standardContextual"/>
        </w:rPr>
      </w:pPr>
      <w:hyperlink w:anchor="_Toc222380412" w:history="1">
        <w:r w:rsidRPr="00821DF6">
          <w:rPr>
            <w:rStyle w:val="a3"/>
          </w:rPr>
          <w:t>Необходимо ускорить легализацию рынка криптовалют в России, в том числе для упрощения проведения внешнеторговых расчетов, заявил глава ВТБ Андрей Костин в ходе форума «Кибербезопасность в финансах».</w:t>
        </w:r>
        <w:r>
          <w:rPr>
            <w:webHidden/>
          </w:rPr>
          <w:tab/>
        </w:r>
        <w:r>
          <w:rPr>
            <w:webHidden/>
          </w:rPr>
          <w:fldChar w:fldCharType="begin"/>
        </w:r>
        <w:r>
          <w:rPr>
            <w:webHidden/>
          </w:rPr>
          <w:instrText xml:space="preserve"> PAGEREF _Toc222380412 \h </w:instrText>
        </w:r>
        <w:r>
          <w:rPr>
            <w:webHidden/>
          </w:rPr>
        </w:r>
        <w:r>
          <w:rPr>
            <w:webHidden/>
          </w:rPr>
          <w:fldChar w:fldCharType="separate"/>
        </w:r>
        <w:r>
          <w:rPr>
            <w:webHidden/>
          </w:rPr>
          <w:t>75</w:t>
        </w:r>
        <w:r>
          <w:rPr>
            <w:webHidden/>
          </w:rPr>
          <w:fldChar w:fldCharType="end"/>
        </w:r>
      </w:hyperlink>
    </w:p>
    <w:p w14:paraId="4932FF68" w14:textId="06DBA2B7" w:rsidR="009E0B0E" w:rsidRDefault="009E0B0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380413" w:history="1">
        <w:r w:rsidRPr="00821DF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_Toc222380413 \h </w:instrText>
        </w:r>
        <w:r>
          <w:rPr>
            <w:noProof/>
            <w:webHidden/>
          </w:rPr>
        </w:r>
        <w:r>
          <w:rPr>
            <w:noProof/>
            <w:webHidden/>
          </w:rPr>
          <w:fldChar w:fldCharType="separate"/>
        </w:r>
        <w:r>
          <w:rPr>
            <w:noProof/>
            <w:webHidden/>
          </w:rPr>
          <w:t>77</w:t>
        </w:r>
        <w:r>
          <w:rPr>
            <w:noProof/>
            <w:webHidden/>
          </w:rPr>
          <w:fldChar w:fldCharType="end"/>
        </w:r>
      </w:hyperlink>
    </w:p>
    <w:p w14:paraId="447D097B" w14:textId="573F5D16" w:rsidR="009E0B0E" w:rsidRDefault="009E0B0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380414" w:history="1">
        <w:r w:rsidRPr="00821DF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_Toc222380414 \h </w:instrText>
        </w:r>
        <w:r>
          <w:rPr>
            <w:noProof/>
            <w:webHidden/>
          </w:rPr>
        </w:r>
        <w:r>
          <w:rPr>
            <w:noProof/>
            <w:webHidden/>
          </w:rPr>
          <w:fldChar w:fldCharType="separate"/>
        </w:r>
        <w:r>
          <w:rPr>
            <w:noProof/>
            <w:webHidden/>
          </w:rPr>
          <w:t>77</w:t>
        </w:r>
        <w:r>
          <w:rPr>
            <w:noProof/>
            <w:webHidden/>
          </w:rPr>
          <w:fldChar w:fldCharType="end"/>
        </w:r>
      </w:hyperlink>
    </w:p>
    <w:p w14:paraId="0BE17F37" w14:textId="0078787D"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15" w:history="1">
        <w:r w:rsidRPr="00821DF6">
          <w:rPr>
            <w:rStyle w:val="a3"/>
            <w:noProof/>
          </w:rPr>
          <w:t>LS, 18.02.2026, На старость может не хватить: изымать досрочно деньги из ЕНПФ станет непросто</w:t>
        </w:r>
        <w:r>
          <w:rPr>
            <w:noProof/>
            <w:webHidden/>
          </w:rPr>
          <w:tab/>
        </w:r>
        <w:r>
          <w:rPr>
            <w:noProof/>
            <w:webHidden/>
          </w:rPr>
          <w:fldChar w:fldCharType="begin"/>
        </w:r>
        <w:r>
          <w:rPr>
            <w:noProof/>
            <w:webHidden/>
          </w:rPr>
          <w:instrText xml:space="preserve"> PAGEREF _Toc222380415 \h </w:instrText>
        </w:r>
        <w:r>
          <w:rPr>
            <w:noProof/>
            <w:webHidden/>
          </w:rPr>
        </w:r>
        <w:r>
          <w:rPr>
            <w:noProof/>
            <w:webHidden/>
          </w:rPr>
          <w:fldChar w:fldCharType="separate"/>
        </w:r>
        <w:r>
          <w:rPr>
            <w:noProof/>
            <w:webHidden/>
          </w:rPr>
          <w:t>77</w:t>
        </w:r>
        <w:r>
          <w:rPr>
            <w:noProof/>
            <w:webHidden/>
          </w:rPr>
          <w:fldChar w:fldCharType="end"/>
        </w:r>
      </w:hyperlink>
    </w:p>
    <w:p w14:paraId="64DA180D" w14:textId="743C253E" w:rsidR="009E0B0E" w:rsidRDefault="009E0B0E">
      <w:pPr>
        <w:pStyle w:val="31"/>
        <w:rPr>
          <w:rFonts w:asciiTheme="minorHAnsi" w:eastAsiaTheme="minorEastAsia" w:hAnsiTheme="minorHAnsi" w:cstheme="minorBidi"/>
          <w:kern w:val="2"/>
          <w14:ligatures w14:val="standardContextual"/>
        </w:rPr>
      </w:pPr>
      <w:hyperlink w:anchor="_Toc222380416" w:history="1">
        <w:r w:rsidRPr="00821DF6">
          <w:rPr>
            <w:rStyle w:val="a3"/>
          </w:rPr>
          <w:t>В Казахстане пересматривают расчеты порогов минимальной достаточности (ПМД) по пенсионным излишкам. Об этом в ответе на запрос LS сообщили в Нацбанке. Согласно информации, действующие пороги и методы их определения не полностью выполняют свою основную задачу в долгосрочной перспективе.</w:t>
        </w:r>
        <w:r>
          <w:rPr>
            <w:webHidden/>
          </w:rPr>
          <w:tab/>
        </w:r>
        <w:r>
          <w:rPr>
            <w:webHidden/>
          </w:rPr>
          <w:fldChar w:fldCharType="begin"/>
        </w:r>
        <w:r>
          <w:rPr>
            <w:webHidden/>
          </w:rPr>
          <w:instrText xml:space="preserve"> PAGEREF _Toc222380416 \h </w:instrText>
        </w:r>
        <w:r>
          <w:rPr>
            <w:webHidden/>
          </w:rPr>
        </w:r>
        <w:r>
          <w:rPr>
            <w:webHidden/>
          </w:rPr>
          <w:fldChar w:fldCharType="separate"/>
        </w:r>
        <w:r>
          <w:rPr>
            <w:webHidden/>
          </w:rPr>
          <w:t>77</w:t>
        </w:r>
        <w:r>
          <w:rPr>
            <w:webHidden/>
          </w:rPr>
          <w:fldChar w:fldCharType="end"/>
        </w:r>
      </w:hyperlink>
    </w:p>
    <w:p w14:paraId="1DD997F8" w14:textId="058FBE64"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17" w:history="1">
        <w:r w:rsidRPr="00821DF6">
          <w:rPr>
            <w:rStyle w:val="a3"/>
            <w:noProof/>
          </w:rPr>
          <w:t>Курсив, 18.02.2026, Пороги для изъятия пенсионных могут увеличить на 10–20%</w:t>
        </w:r>
        <w:r>
          <w:rPr>
            <w:noProof/>
            <w:webHidden/>
          </w:rPr>
          <w:tab/>
        </w:r>
        <w:r>
          <w:rPr>
            <w:noProof/>
            <w:webHidden/>
          </w:rPr>
          <w:fldChar w:fldCharType="begin"/>
        </w:r>
        <w:r>
          <w:rPr>
            <w:noProof/>
            <w:webHidden/>
          </w:rPr>
          <w:instrText xml:space="preserve"> PAGEREF _Toc222380417 \h </w:instrText>
        </w:r>
        <w:r>
          <w:rPr>
            <w:noProof/>
            <w:webHidden/>
          </w:rPr>
        </w:r>
        <w:r>
          <w:rPr>
            <w:noProof/>
            <w:webHidden/>
          </w:rPr>
          <w:fldChar w:fldCharType="separate"/>
        </w:r>
        <w:r>
          <w:rPr>
            <w:noProof/>
            <w:webHidden/>
          </w:rPr>
          <w:t>78</w:t>
        </w:r>
        <w:r>
          <w:rPr>
            <w:noProof/>
            <w:webHidden/>
          </w:rPr>
          <w:fldChar w:fldCharType="end"/>
        </w:r>
      </w:hyperlink>
    </w:p>
    <w:p w14:paraId="3FA7D87D" w14:textId="4EDAD711" w:rsidR="009E0B0E" w:rsidRDefault="009E0B0E">
      <w:pPr>
        <w:pStyle w:val="31"/>
        <w:rPr>
          <w:rFonts w:asciiTheme="minorHAnsi" w:eastAsiaTheme="minorEastAsia" w:hAnsiTheme="minorHAnsi" w:cstheme="minorBidi"/>
          <w:kern w:val="2"/>
          <w14:ligatures w14:val="standardContextual"/>
        </w:rPr>
      </w:pPr>
      <w:hyperlink w:anchor="_Toc222380418" w:history="1">
        <w:r w:rsidRPr="00821DF6">
          <w:rPr>
            <w:rStyle w:val="a3"/>
          </w:rPr>
          <w:t>Власти не будут резко ужесточать правила снятия пенсионных накоплений в Казахстане, считает финансист Qazaq Expert Club Венера Жаналина. По ее мнению, корректировка порогов минимальной достаточности, скорее всего, будет проходить поэтапно.</w:t>
        </w:r>
        <w:r>
          <w:rPr>
            <w:webHidden/>
          </w:rPr>
          <w:tab/>
        </w:r>
        <w:r>
          <w:rPr>
            <w:webHidden/>
          </w:rPr>
          <w:fldChar w:fldCharType="begin"/>
        </w:r>
        <w:r>
          <w:rPr>
            <w:webHidden/>
          </w:rPr>
          <w:instrText xml:space="preserve"> PAGEREF _Toc222380418 \h </w:instrText>
        </w:r>
        <w:r>
          <w:rPr>
            <w:webHidden/>
          </w:rPr>
        </w:r>
        <w:r>
          <w:rPr>
            <w:webHidden/>
          </w:rPr>
          <w:fldChar w:fldCharType="separate"/>
        </w:r>
        <w:r>
          <w:rPr>
            <w:webHidden/>
          </w:rPr>
          <w:t>78</w:t>
        </w:r>
        <w:r>
          <w:rPr>
            <w:webHidden/>
          </w:rPr>
          <w:fldChar w:fldCharType="end"/>
        </w:r>
      </w:hyperlink>
    </w:p>
    <w:p w14:paraId="2529139F" w14:textId="1FD81FC7"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19" w:history="1">
        <w:r w:rsidRPr="00821DF6">
          <w:rPr>
            <w:rStyle w:val="a3"/>
            <w:noProof/>
          </w:rPr>
          <w:t>Курсив, 18.02.2026, Сколько нужно копить, чтобы получать пенсию, равную 40% от зарплаты</w:t>
        </w:r>
        <w:r>
          <w:rPr>
            <w:noProof/>
            <w:webHidden/>
          </w:rPr>
          <w:tab/>
        </w:r>
        <w:r>
          <w:rPr>
            <w:noProof/>
            <w:webHidden/>
          </w:rPr>
          <w:fldChar w:fldCharType="begin"/>
        </w:r>
        <w:r>
          <w:rPr>
            <w:noProof/>
            <w:webHidden/>
          </w:rPr>
          <w:instrText xml:space="preserve"> PAGEREF _Toc222380419 \h </w:instrText>
        </w:r>
        <w:r>
          <w:rPr>
            <w:noProof/>
            <w:webHidden/>
          </w:rPr>
        </w:r>
        <w:r>
          <w:rPr>
            <w:noProof/>
            <w:webHidden/>
          </w:rPr>
          <w:fldChar w:fldCharType="separate"/>
        </w:r>
        <w:r>
          <w:rPr>
            <w:noProof/>
            <w:webHidden/>
          </w:rPr>
          <w:t>78</w:t>
        </w:r>
        <w:r>
          <w:rPr>
            <w:noProof/>
            <w:webHidden/>
          </w:rPr>
          <w:fldChar w:fldCharType="end"/>
        </w:r>
      </w:hyperlink>
    </w:p>
    <w:p w14:paraId="33E276EE" w14:textId="7CA59FF0" w:rsidR="009E0B0E" w:rsidRDefault="009E0B0E">
      <w:pPr>
        <w:pStyle w:val="31"/>
        <w:rPr>
          <w:rFonts w:asciiTheme="minorHAnsi" w:eastAsiaTheme="minorEastAsia" w:hAnsiTheme="minorHAnsi" w:cstheme="minorBidi"/>
          <w:kern w:val="2"/>
          <w14:ligatures w14:val="standardContextual"/>
        </w:rPr>
      </w:pPr>
      <w:hyperlink w:anchor="_Toc222380420" w:history="1">
        <w:r w:rsidRPr="00821DF6">
          <w:rPr>
            <w:rStyle w:val="a3"/>
          </w:rPr>
          <w:t>Казахстанцам, воспользовавшимся выводом части денег из ЕНПФ, при достижении пенсионного возраста будет сложно выйти на достаточную пенсию, которая бы соответствовала 40% их ежемесячного дохода, считает финансист Qazaq Expert Club Венера Жаналина. Для этого им лучше не выводить суммы, превышающие порог достаточности, а также ожидать хорошей доходности по своим пенсионным накоплениям.</w:t>
        </w:r>
        <w:r>
          <w:rPr>
            <w:webHidden/>
          </w:rPr>
          <w:tab/>
        </w:r>
        <w:r>
          <w:rPr>
            <w:webHidden/>
          </w:rPr>
          <w:fldChar w:fldCharType="begin"/>
        </w:r>
        <w:r>
          <w:rPr>
            <w:webHidden/>
          </w:rPr>
          <w:instrText xml:space="preserve"> PAGEREF _Toc222380420 \h </w:instrText>
        </w:r>
        <w:r>
          <w:rPr>
            <w:webHidden/>
          </w:rPr>
        </w:r>
        <w:r>
          <w:rPr>
            <w:webHidden/>
          </w:rPr>
          <w:fldChar w:fldCharType="separate"/>
        </w:r>
        <w:r>
          <w:rPr>
            <w:webHidden/>
          </w:rPr>
          <w:t>78</w:t>
        </w:r>
        <w:r>
          <w:rPr>
            <w:webHidden/>
          </w:rPr>
          <w:fldChar w:fldCharType="end"/>
        </w:r>
      </w:hyperlink>
    </w:p>
    <w:p w14:paraId="11F95CD5" w14:textId="05F0E099" w:rsidR="009E0B0E" w:rsidRDefault="009E0B0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380421" w:history="1">
        <w:r w:rsidRPr="00821DF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_Toc222380421 \h </w:instrText>
        </w:r>
        <w:r>
          <w:rPr>
            <w:noProof/>
            <w:webHidden/>
          </w:rPr>
        </w:r>
        <w:r>
          <w:rPr>
            <w:noProof/>
            <w:webHidden/>
          </w:rPr>
          <w:fldChar w:fldCharType="separate"/>
        </w:r>
        <w:r>
          <w:rPr>
            <w:noProof/>
            <w:webHidden/>
          </w:rPr>
          <w:t>81</w:t>
        </w:r>
        <w:r>
          <w:rPr>
            <w:noProof/>
            <w:webHidden/>
          </w:rPr>
          <w:fldChar w:fldCharType="end"/>
        </w:r>
      </w:hyperlink>
    </w:p>
    <w:p w14:paraId="266B1F16" w14:textId="5E1C0881"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22" w:history="1">
        <w:r w:rsidRPr="00821DF6">
          <w:rPr>
            <w:rStyle w:val="a3"/>
            <w:noProof/>
          </w:rPr>
          <w:t>Диалектик, 18.02.2026, В Германии хотят повысить пенсионный возраст до 70 лет</w:t>
        </w:r>
        <w:r>
          <w:rPr>
            <w:noProof/>
            <w:webHidden/>
          </w:rPr>
          <w:tab/>
        </w:r>
        <w:r>
          <w:rPr>
            <w:noProof/>
            <w:webHidden/>
          </w:rPr>
          <w:fldChar w:fldCharType="begin"/>
        </w:r>
        <w:r>
          <w:rPr>
            <w:noProof/>
            <w:webHidden/>
          </w:rPr>
          <w:instrText xml:space="preserve"> PAGEREF _Toc222380422 \h </w:instrText>
        </w:r>
        <w:r>
          <w:rPr>
            <w:noProof/>
            <w:webHidden/>
          </w:rPr>
        </w:r>
        <w:r>
          <w:rPr>
            <w:noProof/>
            <w:webHidden/>
          </w:rPr>
          <w:fldChar w:fldCharType="separate"/>
        </w:r>
        <w:r>
          <w:rPr>
            <w:noProof/>
            <w:webHidden/>
          </w:rPr>
          <w:t>81</w:t>
        </w:r>
        <w:r>
          <w:rPr>
            <w:noProof/>
            <w:webHidden/>
          </w:rPr>
          <w:fldChar w:fldCharType="end"/>
        </w:r>
      </w:hyperlink>
    </w:p>
    <w:p w14:paraId="7694624F" w14:textId="4A070F87" w:rsidR="009E0B0E" w:rsidRDefault="009E0B0E">
      <w:pPr>
        <w:pStyle w:val="31"/>
        <w:rPr>
          <w:rFonts w:asciiTheme="minorHAnsi" w:eastAsiaTheme="minorEastAsia" w:hAnsiTheme="minorHAnsi" w:cstheme="minorBidi"/>
          <w:kern w:val="2"/>
          <w14:ligatures w14:val="standardContextual"/>
        </w:rPr>
      </w:pPr>
      <w:hyperlink w:anchor="_Toc222380423" w:history="1">
        <w:r w:rsidRPr="00821DF6">
          <w:rPr>
            <w:rStyle w:val="a3"/>
          </w:rPr>
          <w:t>Специальная комиссия при федеральном правительстве Германии начала обсуждать возможность повышения установленного законом пенсионного возраста до 70 лет. Об этом сообщают немецкие издания, выяснил «Диалектик».</w:t>
        </w:r>
        <w:r>
          <w:rPr>
            <w:webHidden/>
          </w:rPr>
          <w:tab/>
        </w:r>
        <w:r>
          <w:rPr>
            <w:webHidden/>
          </w:rPr>
          <w:fldChar w:fldCharType="begin"/>
        </w:r>
        <w:r>
          <w:rPr>
            <w:webHidden/>
          </w:rPr>
          <w:instrText xml:space="preserve"> PAGEREF _Toc222380423 \h </w:instrText>
        </w:r>
        <w:r>
          <w:rPr>
            <w:webHidden/>
          </w:rPr>
        </w:r>
        <w:r>
          <w:rPr>
            <w:webHidden/>
          </w:rPr>
          <w:fldChar w:fldCharType="separate"/>
        </w:r>
        <w:r>
          <w:rPr>
            <w:webHidden/>
          </w:rPr>
          <w:t>81</w:t>
        </w:r>
        <w:r>
          <w:rPr>
            <w:webHidden/>
          </w:rPr>
          <w:fldChar w:fldCharType="end"/>
        </w:r>
      </w:hyperlink>
    </w:p>
    <w:p w14:paraId="358C704E" w14:textId="67D9A2FA"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24" w:history="1">
        <w:r w:rsidRPr="00821DF6">
          <w:rPr>
            <w:rStyle w:val="a3"/>
            <w:noProof/>
          </w:rPr>
          <w:t>Gorod.lv, 18.02.2026, На Manabalss.lv собраны подписи за возможность добровольно изымать средства 2 пенсионного уровня</w:t>
        </w:r>
        <w:r>
          <w:rPr>
            <w:noProof/>
            <w:webHidden/>
          </w:rPr>
          <w:tab/>
        </w:r>
        <w:r>
          <w:rPr>
            <w:noProof/>
            <w:webHidden/>
          </w:rPr>
          <w:fldChar w:fldCharType="begin"/>
        </w:r>
        <w:r>
          <w:rPr>
            <w:noProof/>
            <w:webHidden/>
          </w:rPr>
          <w:instrText xml:space="preserve"> PAGEREF _Toc222380424 \h </w:instrText>
        </w:r>
        <w:r>
          <w:rPr>
            <w:noProof/>
            <w:webHidden/>
          </w:rPr>
        </w:r>
        <w:r>
          <w:rPr>
            <w:noProof/>
            <w:webHidden/>
          </w:rPr>
          <w:fldChar w:fldCharType="separate"/>
        </w:r>
        <w:r>
          <w:rPr>
            <w:noProof/>
            <w:webHidden/>
          </w:rPr>
          <w:t>82</w:t>
        </w:r>
        <w:r>
          <w:rPr>
            <w:noProof/>
            <w:webHidden/>
          </w:rPr>
          <w:fldChar w:fldCharType="end"/>
        </w:r>
      </w:hyperlink>
    </w:p>
    <w:p w14:paraId="67BD20B2" w14:textId="0A0F1854" w:rsidR="009E0B0E" w:rsidRDefault="009E0B0E">
      <w:pPr>
        <w:pStyle w:val="31"/>
        <w:rPr>
          <w:rFonts w:asciiTheme="minorHAnsi" w:eastAsiaTheme="minorEastAsia" w:hAnsiTheme="minorHAnsi" w:cstheme="minorBidi"/>
          <w:kern w:val="2"/>
          <w14:ligatures w14:val="standardContextual"/>
        </w:rPr>
      </w:pPr>
      <w:hyperlink w:anchor="_Toc222380425" w:history="1">
        <w:r w:rsidRPr="00821DF6">
          <w:rPr>
            <w:rStyle w:val="a3"/>
          </w:rPr>
          <w:t>На портале общественных инициатив Manabalss.lv был объявлен сбор подписей за предоставление жителям Латвии права добровольно изымать накопления 2-го пенсионного уровня полностью или частично. Инициатива уже набрала более 10 000 голосов и будет подана на рассмотрение в Сейм.</w:t>
        </w:r>
        <w:r>
          <w:rPr>
            <w:webHidden/>
          </w:rPr>
          <w:tab/>
        </w:r>
        <w:r>
          <w:rPr>
            <w:webHidden/>
          </w:rPr>
          <w:fldChar w:fldCharType="begin"/>
        </w:r>
        <w:r>
          <w:rPr>
            <w:webHidden/>
          </w:rPr>
          <w:instrText xml:space="preserve"> PAGEREF _Toc222380425 \h </w:instrText>
        </w:r>
        <w:r>
          <w:rPr>
            <w:webHidden/>
          </w:rPr>
        </w:r>
        <w:r>
          <w:rPr>
            <w:webHidden/>
          </w:rPr>
          <w:fldChar w:fldCharType="separate"/>
        </w:r>
        <w:r>
          <w:rPr>
            <w:webHidden/>
          </w:rPr>
          <w:t>82</w:t>
        </w:r>
        <w:r>
          <w:rPr>
            <w:webHidden/>
          </w:rPr>
          <w:fldChar w:fldCharType="end"/>
        </w:r>
      </w:hyperlink>
    </w:p>
    <w:p w14:paraId="5D9C4DFD" w14:textId="254ED005"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26" w:history="1">
        <w:r w:rsidRPr="00821DF6">
          <w:rPr>
            <w:rStyle w:val="a3"/>
            <w:noProof/>
          </w:rPr>
          <w:t>Sputnik Латвия, 18.02.2026, Эксперт: пенсионная система может рухнуть</w:t>
        </w:r>
        <w:r>
          <w:rPr>
            <w:noProof/>
            <w:webHidden/>
          </w:rPr>
          <w:tab/>
        </w:r>
        <w:r>
          <w:rPr>
            <w:noProof/>
            <w:webHidden/>
          </w:rPr>
          <w:fldChar w:fldCharType="begin"/>
        </w:r>
        <w:r>
          <w:rPr>
            <w:noProof/>
            <w:webHidden/>
          </w:rPr>
          <w:instrText xml:space="preserve"> PAGEREF _Toc222380426 \h </w:instrText>
        </w:r>
        <w:r>
          <w:rPr>
            <w:noProof/>
            <w:webHidden/>
          </w:rPr>
        </w:r>
        <w:r>
          <w:rPr>
            <w:noProof/>
            <w:webHidden/>
          </w:rPr>
          <w:fldChar w:fldCharType="separate"/>
        </w:r>
        <w:r>
          <w:rPr>
            <w:noProof/>
            <w:webHidden/>
          </w:rPr>
          <w:t>82</w:t>
        </w:r>
        <w:r>
          <w:rPr>
            <w:noProof/>
            <w:webHidden/>
          </w:rPr>
          <w:fldChar w:fldCharType="end"/>
        </w:r>
      </w:hyperlink>
    </w:p>
    <w:p w14:paraId="5068D061" w14:textId="1975692F" w:rsidR="009E0B0E" w:rsidRDefault="009E0B0E">
      <w:pPr>
        <w:pStyle w:val="31"/>
        <w:rPr>
          <w:rFonts w:asciiTheme="minorHAnsi" w:eastAsiaTheme="minorEastAsia" w:hAnsiTheme="minorHAnsi" w:cstheme="minorBidi"/>
          <w:kern w:val="2"/>
          <w14:ligatures w14:val="standardContextual"/>
        </w:rPr>
      </w:pPr>
      <w:hyperlink w:anchor="_Toc222380427" w:history="1">
        <w:r w:rsidRPr="00821DF6">
          <w:rPr>
            <w:rStyle w:val="a3"/>
          </w:rPr>
          <w:t>Властям Латвии не стоит делать второй уровень добровольным, поскольку это может привести к разрушению пенсионной системы, заявила заместитель президента Латвийской конфедерации работодателей, депутат Бауского края Инара Петерсоне.</w:t>
        </w:r>
        <w:r>
          <w:rPr>
            <w:webHidden/>
          </w:rPr>
          <w:tab/>
        </w:r>
        <w:r>
          <w:rPr>
            <w:webHidden/>
          </w:rPr>
          <w:fldChar w:fldCharType="begin"/>
        </w:r>
        <w:r>
          <w:rPr>
            <w:webHidden/>
          </w:rPr>
          <w:instrText xml:space="preserve"> PAGEREF _Toc222380427 \h </w:instrText>
        </w:r>
        <w:r>
          <w:rPr>
            <w:webHidden/>
          </w:rPr>
        </w:r>
        <w:r>
          <w:rPr>
            <w:webHidden/>
          </w:rPr>
          <w:fldChar w:fldCharType="separate"/>
        </w:r>
        <w:r>
          <w:rPr>
            <w:webHidden/>
          </w:rPr>
          <w:t>82</w:t>
        </w:r>
        <w:r>
          <w:rPr>
            <w:webHidden/>
          </w:rPr>
          <w:fldChar w:fldCharType="end"/>
        </w:r>
      </w:hyperlink>
    </w:p>
    <w:p w14:paraId="600F0189" w14:textId="65CE4082"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28" w:history="1">
        <w:r w:rsidRPr="00821DF6">
          <w:rPr>
            <w:rStyle w:val="a3"/>
            <w:noProof/>
          </w:rPr>
          <w:t>Sputnik Литва, 18.02.2026, В Литве за месяц из пенсионных фондов решила выйти пятая часть участников</w:t>
        </w:r>
        <w:r>
          <w:rPr>
            <w:noProof/>
            <w:webHidden/>
          </w:rPr>
          <w:tab/>
        </w:r>
        <w:r>
          <w:rPr>
            <w:noProof/>
            <w:webHidden/>
          </w:rPr>
          <w:fldChar w:fldCharType="begin"/>
        </w:r>
        <w:r>
          <w:rPr>
            <w:noProof/>
            <w:webHidden/>
          </w:rPr>
          <w:instrText xml:space="preserve"> PAGEREF _Toc222380428 \h </w:instrText>
        </w:r>
        <w:r>
          <w:rPr>
            <w:noProof/>
            <w:webHidden/>
          </w:rPr>
        </w:r>
        <w:r>
          <w:rPr>
            <w:noProof/>
            <w:webHidden/>
          </w:rPr>
          <w:fldChar w:fldCharType="separate"/>
        </w:r>
        <w:r>
          <w:rPr>
            <w:noProof/>
            <w:webHidden/>
          </w:rPr>
          <w:t>83</w:t>
        </w:r>
        <w:r>
          <w:rPr>
            <w:noProof/>
            <w:webHidden/>
          </w:rPr>
          <w:fldChar w:fldCharType="end"/>
        </w:r>
      </w:hyperlink>
    </w:p>
    <w:p w14:paraId="3ABADEFA" w14:textId="3A23163D" w:rsidR="009E0B0E" w:rsidRDefault="009E0B0E">
      <w:pPr>
        <w:pStyle w:val="31"/>
        <w:rPr>
          <w:rFonts w:asciiTheme="minorHAnsi" w:eastAsiaTheme="minorEastAsia" w:hAnsiTheme="minorHAnsi" w:cstheme="minorBidi"/>
          <w:kern w:val="2"/>
          <w14:ligatures w14:val="standardContextual"/>
        </w:rPr>
      </w:pPr>
      <w:hyperlink w:anchor="_Toc222380429" w:history="1">
        <w:r w:rsidRPr="00821DF6">
          <w:rPr>
            <w:rStyle w:val="a3"/>
          </w:rPr>
          <w:t>В Литве после вступления в силу возможности для жителей выходить из пенсионных фондов и снимать накопленные средства, около 21 процента вкладчиков подали заявления о прекращении накоплений. Об этом сообщает Литовская ассоциация инвестиционных и пенсионных фондов (LIPFA).</w:t>
        </w:r>
        <w:r>
          <w:rPr>
            <w:webHidden/>
          </w:rPr>
          <w:tab/>
        </w:r>
        <w:r>
          <w:rPr>
            <w:webHidden/>
          </w:rPr>
          <w:fldChar w:fldCharType="begin"/>
        </w:r>
        <w:r>
          <w:rPr>
            <w:webHidden/>
          </w:rPr>
          <w:instrText xml:space="preserve"> PAGEREF _Toc222380429 \h </w:instrText>
        </w:r>
        <w:r>
          <w:rPr>
            <w:webHidden/>
          </w:rPr>
        </w:r>
        <w:r>
          <w:rPr>
            <w:webHidden/>
          </w:rPr>
          <w:fldChar w:fldCharType="separate"/>
        </w:r>
        <w:r>
          <w:rPr>
            <w:webHidden/>
          </w:rPr>
          <w:t>83</w:t>
        </w:r>
        <w:r>
          <w:rPr>
            <w:webHidden/>
          </w:rPr>
          <w:fldChar w:fldCharType="end"/>
        </w:r>
      </w:hyperlink>
    </w:p>
    <w:p w14:paraId="2E09007A" w14:textId="2E03CC9A"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30" w:history="1">
        <w:r w:rsidRPr="00821DF6">
          <w:rPr>
            <w:rStyle w:val="a3"/>
            <w:noProof/>
          </w:rPr>
          <w:t>Российские корейцы, 18.02.2026, Пенсионеры хотят работать</w:t>
        </w:r>
        <w:r>
          <w:rPr>
            <w:noProof/>
            <w:webHidden/>
          </w:rPr>
          <w:tab/>
        </w:r>
        <w:r>
          <w:rPr>
            <w:noProof/>
            <w:webHidden/>
          </w:rPr>
          <w:fldChar w:fldCharType="begin"/>
        </w:r>
        <w:r>
          <w:rPr>
            <w:noProof/>
            <w:webHidden/>
          </w:rPr>
          <w:instrText xml:space="preserve"> PAGEREF _Toc222380430 \h </w:instrText>
        </w:r>
        <w:r>
          <w:rPr>
            <w:noProof/>
            <w:webHidden/>
          </w:rPr>
        </w:r>
        <w:r>
          <w:rPr>
            <w:noProof/>
            <w:webHidden/>
          </w:rPr>
          <w:fldChar w:fldCharType="separate"/>
        </w:r>
        <w:r>
          <w:rPr>
            <w:noProof/>
            <w:webHidden/>
          </w:rPr>
          <w:t>85</w:t>
        </w:r>
        <w:r>
          <w:rPr>
            <w:noProof/>
            <w:webHidden/>
          </w:rPr>
          <w:fldChar w:fldCharType="end"/>
        </w:r>
      </w:hyperlink>
    </w:p>
    <w:p w14:paraId="2A641220" w14:textId="6DE9421B" w:rsidR="009E0B0E" w:rsidRDefault="009E0B0E">
      <w:pPr>
        <w:pStyle w:val="31"/>
        <w:rPr>
          <w:rFonts w:asciiTheme="minorHAnsi" w:eastAsiaTheme="minorEastAsia" w:hAnsiTheme="minorHAnsi" w:cstheme="minorBidi"/>
          <w:kern w:val="2"/>
          <w14:ligatures w14:val="standardContextual"/>
        </w:rPr>
      </w:pPr>
      <w:hyperlink w:anchor="_Toc222380431" w:history="1">
        <w:r w:rsidRPr="00821DF6">
          <w:rPr>
            <w:rStyle w:val="a3"/>
          </w:rPr>
          <w:t>Уровень занятости в Южной Корее среди людей в возрасте от 55 до 64 лет в 2025 году достиг рекордных 70,5 %, впервые с 1983 года превысив порог в 70 %. По данным министерства труда и занятости, этот показатель вырос с 69,9 % годом ранее, продолжив тенденцию к увеличению, наблюдавшуюся в течение десяти лет, по мере повышения пенсионного возраста. В Южной Корее к пожилым работникам относятся люди в возрасте от 55 до 64 лет. Пожилые люди по закону считаются старшими поколениями.</w:t>
        </w:r>
        <w:r>
          <w:rPr>
            <w:webHidden/>
          </w:rPr>
          <w:tab/>
        </w:r>
        <w:r>
          <w:rPr>
            <w:webHidden/>
          </w:rPr>
          <w:fldChar w:fldCharType="begin"/>
        </w:r>
        <w:r>
          <w:rPr>
            <w:webHidden/>
          </w:rPr>
          <w:instrText xml:space="preserve"> PAGEREF _Toc222380431 \h </w:instrText>
        </w:r>
        <w:r>
          <w:rPr>
            <w:webHidden/>
          </w:rPr>
        </w:r>
        <w:r>
          <w:rPr>
            <w:webHidden/>
          </w:rPr>
          <w:fldChar w:fldCharType="separate"/>
        </w:r>
        <w:r>
          <w:rPr>
            <w:webHidden/>
          </w:rPr>
          <w:t>85</w:t>
        </w:r>
        <w:r>
          <w:rPr>
            <w:webHidden/>
          </w:rPr>
          <w:fldChar w:fldCharType="end"/>
        </w:r>
      </w:hyperlink>
    </w:p>
    <w:p w14:paraId="5C182C3E" w14:textId="33E06123" w:rsidR="009E0B0E" w:rsidRDefault="009E0B0E">
      <w:pPr>
        <w:pStyle w:val="21"/>
        <w:tabs>
          <w:tab w:val="right" w:leader="dot" w:pos="9061"/>
        </w:tabs>
        <w:rPr>
          <w:rFonts w:asciiTheme="minorHAnsi" w:eastAsiaTheme="minorEastAsia" w:hAnsiTheme="minorHAnsi" w:cstheme="minorBidi"/>
          <w:noProof/>
          <w:kern w:val="2"/>
          <w14:ligatures w14:val="standardContextual"/>
        </w:rPr>
      </w:pPr>
      <w:hyperlink w:anchor="_Toc222380432" w:history="1">
        <w:r w:rsidRPr="00821DF6">
          <w:rPr>
            <w:rStyle w:val="a3"/>
            <w:noProof/>
          </w:rPr>
          <w:t>ТАСС, 18.02.2026, Конституционный суд Румынии разрешил провести реформу пенсий судей и прокуроров</w:t>
        </w:r>
        <w:r>
          <w:rPr>
            <w:noProof/>
            <w:webHidden/>
          </w:rPr>
          <w:tab/>
        </w:r>
        <w:r>
          <w:rPr>
            <w:noProof/>
            <w:webHidden/>
          </w:rPr>
          <w:fldChar w:fldCharType="begin"/>
        </w:r>
        <w:r>
          <w:rPr>
            <w:noProof/>
            <w:webHidden/>
          </w:rPr>
          <w:instrText xml:space="preserve"> PAGEREF _Toc222380432 \h </w:instrText>
        </w:r>
        <w:r>
          <w:rPr>
            <w:noProof/>
            <w:webHidden/>
          </w:rPr>
        </w:r>
        <w:r>
          <w:rPr>
            <w:noProof/>
            <w:webHidden/>
          </w:rPr>
          <w:fldChar w:fldCharType="separate"/>
        </w:r>
        <w:r>
          <w:rPr>
            <w:noProof/>
            <w:webHidden/>
          </w:rPr>
          <w:t>85</w:t>
        </w:r>
        <w:r>
          <w:rPr>
            <w:noProof/>
            <w:webHidden/>
          </w:rPr>
          <w:fldChar w:fldCharType="end"/>
        </w:r>
      </w:hyperlink>
    </w:p>
    <w:p w14:paraId="26661F77" w14:textId="5FE8F2F5" w:rsidR="009E0B0E" w:rsidRDefault="009E0B0E">
      <w:pPr>
        <w:pStyle w:val="31"/>
        <w:rPr>
          <w:rFonts w:asciiTheme="minorHAnsi" w:eastAsiaTheme="minorEastAsia" w:hAnsiTheme="minorHAnsi" w:cstheme="minorBidi"/>
          <w:kern w:val="2"/>
          <w14:ligatures w14:val="standardContextual"/>
        </w:rPr>
      </w:pPr>
      <w:hyperlink w:anchor="_Toc222380433" w:history="1">
        <w:r w:rsidRPr="00821DF6">
          <w:rPr>
            <w:rStyle w:val="a3"/>
          </w:rPr>
          <w:t>Конституционный суд (КС) Румынии признал конституционным законопроект о пенсиях судей и прокуроров, который выдвинуло правительство Илие Боложана, отклонив ходатайство Высокого апелляционного суда, который его оспорил. Об этом сообщило агентство Аджерпрес.</w:t>
        </w:r>
        <w:r>
          <w:rPr>
            <w:webHidden/>
          </w:rPr>
          <w:tab/>
        </w:r>
        <w:r>
          <w:rPr>
            <w:webHidden/>
          </w:rPr>
          <w:fldChar w:fldCharType="begin"/>
        </w:r>
        <w:r>
          <w:rPr>
            <w:webHidden/>
          </w:rPr>
          <w:instrText xml:space="preserve"> PAGEREF _Toc222380433 \h </w:instrText>
        </w:r>
        <w:r>
          <w:rPr>
            <w:webHidden/>
          </w:rPr>
        </w:r>
        <w:r>
          <w:rPr>
            <w:webHidden/>
          </w:rPr>
          <w:fldChar w:fldCharType="separate"/>
        </w:r>
        <w:r>
          <w:rPr>
            <w:webHidden/>
          </w:rPr>
          <w:t>85</w:t>
        </w:r>
        <w:r>
          <w:rPr>
            <w:webHidden/>
          </w:rPr>
          <w:fldChar w:fldCharType="end"/>
        </w:r>
      </w:hyperlink>
    </w:p>
    <w:p w14:paraId="15E433F4" w14:textId="36D1E303" w:rsidR="00A0290C" w:rsidRPr="00BF5E04" w:rsidRDefault="0016758D" w:rsidP="00310633">
      <w:pPr>
        <w:rPr>
          <w:b/>
          <w:caps/>
          <w:sz w:val="32"/>
        </w:rPr>
      </w:pPr>
      <w:r w:rsidRPr="00BF5E04">
        <w:rPr>
          <w:caps/>
          <w:sz w:val="28"/>
        </w:rPr>
        <w:fldChar w:fldCharType="end"/>
      </w:r>
    </w:p>
    <w:p w14:paraId="6EA9C6EB" w14:textId="77777777" w:rsidR="00D1642B" w:rsidRPr="00BF5E04" w:rsidRDefault="00D1642B" w:rsidP="00D1642B">
      <w:pPr>
        <w:pStyle w:val="251"/>
      </w:pPr>
      <w:bookmarkStart w:id="16" w:name="_Toc396864664"/>
      <w:bookmarkStart w:id="17" w:name="_Toc99318652"/>
      <w:bookmarkStart w:id="18" w:name="_Toc246216291"/>
      <w:bookmarkStart w:id="19" w:name="_Toc246297418"/>
      <w:bookmarkStart w:id="20" w:name="_Toc222380307"/>
      <w:bookmarkEnd w:id="8"/>
      <w:bookmarkEnd w:id="9"/>
      <w:bookmarkEnd w:id="10"/>
      <w:bookmarkEnd w:id="11"/>
      <w:bookmarkEnd w:id="12"/>
      <w:bookmarkEnd w:id="13"/>
      <w:bookmarkEnd w:id="14"/>
      <w:bookmarkEnd w:id="15"/>
      <w:r w:rsidRPr="00BF5E04">
        <w:lastRenderedPageBreak/>
        <w:t>НОВОСТИ ПЕНСИОННОЙ ОТРАСЛИ</w:t>
      </w:r>
      <w:bookmarkEnd w:id="16"/>
      <w:bookmarkEnd w:id="17"/>
      <w:bookmarkEnd w:id="20"/>
    </w:p>
    <w:p w14:paraId="024116D1" w14:textId="77777777" w:rsidR="00111D7C" w:rsidRPr="00BF5E0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2380308"/>
      <w:bookmarkEnd w:id="18"/>
      <w:bookmarkEnd w:id="19"/>
      <w:r w:rsidRPr="00BF5E04">
        <w:t>Новости отрасли НПФ</w:t>
      </w:r>
      <w:bookmarkEnd w:id="21"/>
      <w:bookmarkEnd w:id="22"/>
      <w:bookmarkEnd w:id="23"/>
      <w:bookmarkEnd w:id="27"/>
    </w:p>
    <w:p w14:paraId="28CD2C15" w14:textId="74D18A21" w:rsidR="00AD4EA0" w:rsidRPr="00BF5E04" w:rsidRDefault="00AD4EA0" w:rsidP="00AD4EA0">
      <w:pPr>
        <w:pStyle w:val="2"/>
      </w:pPr>
      <w:bookmarkStart w:id="28" w:name="ф1"/>
      <w:bookmarkStart w:id="29" w:name="_Toc222380309"/>
      <w:bookmarkEnd w:id="28"/>
      <w:r w:rsidRPr="00BF5E04">
        <w:t>РИА Новости, 18.02.2026, СФ освободил ряд финорганизаций от составления консолидированной отчетности</w:t>
      </w:r>
      <w:bookmarkEnd w:id="29"/>
    </w:p>
    <w:p w14:paraId="6220F925" w14:textId="77777777" w:rsidR="00AD4EA0" w:rsidRPr="00BF5E04" w:rsidRDefault="00AD4EA0" w:rsidP="001A12F0">
      <w:pPr>
        <w:pStyle w:val="3"/>
      </w:pPr>
      <w:bookmarkStart w:id="30" w:name="_Toc222380310"/>
      <w:r w:rsidRPr="00BF5E04">
        <w:t>Сенаторы одобрили закон, освобождающий с 1 марта 2026 года ряд финансовых организаций от составления консолидированной финансовой отчетности (КФО).</w:t>
      </w:r>
      <w:bookmarkEnd w:id="30"/>
    </w:p>
    <w:p w14:paraId="2602E047" w14:textId="77777777" w:rsidR="00AD4EA0" w:rsidRPr="00BF5E04" w:rsidRDefault="00AD4EA0" w:rsidP="00AD4EA0">
      <w:r w:rsidRPr="00BF5E04">
        <w:t>Документ дает право отдельным организациям финансового рынка, входящим в группы, не составлять консолидированную финансовую отчетность. Речь идет о страховых организациях (за исключением страховых медорганизаций, осуществляющих только обязательное медицинское страхование), НПФ, управляющих компаниях инвестиционных, паевых инвестиционных и негосударственных пенсионных фондов.</w:t>
      </w:r>
    </w:p>
    <w:p w14:paraId="5762C37B" w14:textId="77777777" w:rsidR="00AD4EA0" w:rsidRPr="00BF5E04" w:rsidRDefault="00AD4EA0" w:rsidP="00AD4EA0">
      <w:r w:rsidRPr="00BF5E04">
        <w:t>Однако для этого предусмотрено несколько условий. Так, организация не должна быть эмитентом ценных бумаг, допущенных к организованным торгам. Также, организация обязана уведомить своих участников (акционеров, учредителей) о намерении не составлять КФО, а эти лица - согласиться с таким намерением.</w:t>
      </w:r>
    </w:p>
    <w:p w14:paraId="02F22EAA" w14:textId="77777777" w:rsidR="00AD4EA0" w:rsidRPr="00BF5E04" w:rsidRDefault="00AD4EA0" w:rsidP="00AD4EA0">
      <w:r w:rsidRPr="00BF5E04">
        <w:t>Кроме того, информация, отражающая финансовое положение, финансовые результаты деятельности и изменения финансового положения организации, включается в КФО, которую раскрывает другая организация, входящая в одну группу с ней.</w:t>
      </w:r>
    </w:p>
    <w:p w14:paraId="1FF4CF3B" w14:textId="2686EB2E" w:rsidR="00AD4EA0" w:rsidRPr="00BF5E04" w:rsidRDefault="00AD4EA0" w:rsidP="00AD4EA0">
      <w:r w:rsidRPr="00BF5E04">
        <w:t xml:space="preserve">Изменения вносятся в законы </w:t>
      </w:r>
      <w:r w:rsidR="00401C97">
        <w:t>«</w:t>
      </w:r>
      <w:r w:rsidRPr="00BF5E04">
        <w:t>О консолидированной финансовой отчетности</w:t>
      </w:r>
      <w:r w:rsidR="00401C97">
        <w:t>»</w:t>
      </w:r>
      <w:r w:rsidRPr="00BF5E04">
        <w:t xml:space="preserve"> и </w:t>
      </w:r>
      <w:r w:rsidR="00401C97">
        <w:t>«</w:t>
      </w:r>
      <w:r w:rsidRPr="00BF5E04">
        <w:t>О рынке ценных бумаг</w:t>
      </w:r>
      <w:r w:rsidR="00401C97">
        <w:t>»</w:t>
      </w:r>
      <w:r w:rsidRPr="00BF5E04">
        <w:t>. Они призваны снизить административную нагрузку на соответствующие организации, входящие в группы.</w:t>
      </w:r>
    </w:p>
    <w:p w14:paraId="161503B4" w14:textId="0DBEC901" w:rsidR="00111D7C" w:rsidRPr="00BF5E04" w:rsidRDefault="00AD4EA0" w:rsidP="00AD4EA0">
      <w:r w:rsidRPr="00BF5E04">
        <w:t>При этом отказаться от составления КФО не могут головные организации банковских холдингов, головные кредитные организации банковских групп, центральные контрагенты, организаторы торговли, центральный депозитарий, публично-правовые компании, говорится в сопроводительных документах.</w:t>
      </w:r>
    </w:p>
    <w:p w14:paraId="584224A7" w14:textId="77777777" w:rsidR="00392034" w:rsidRPr="00BF5E04" w:rsidRDefault="00392034" w:rsidP="00392034">
      <w:pPr>
        <w:pStyle w:val="2"/>
      </w:pPr>
      <w:bookmarkStart w:id="31" w:name="_Toc222380311"/>
      <w:r w:rsidRPr="00BF5E04">
        <w:t>ТАСС, 18.02.2026, СФ освободил некоторые организации от консолидированной финотчетности</w:t>
      </w:r>
      <w:bookmarkEnd w:id="31"/>
    </w:p>
    <w:p w14:paraId="7C84FD7F" w14:textId="77777777" w:rsidR="00392034" w:rsidRPr="00BF5E04" w:rsidRDefault="00392034" w:rsidP="001A12F0">
      <w:pPr>
        <w:pStyle w:val="3"/>
      </w:pPr>
      <w:bookmarkStart w:id="32" w:name="_Toc222380312"/>
      <w:r w:rsidRPr="00BF5E04">
        <w:t>Совет Федерации на пленарном заседании одобрил закон, предусматривающий освобождение от составления собственной консолидированной финансовой отчетности для некоторых организаций финансового рынка. Документ инициирован правительством РФ.</w:t>
      </w:r>
      <w:bookmarkEnd w:id="32"/>
    </w:p>
    <w:p w14:paraId="14FDE162" w14:textId="7E49FECA" w:rsidR="00392034" w:rsidRPr="00BF5E04" w:rsidRDefault="00392034" w:rsidP="00392034">
      <w:r w:rsidRPr="00BF5E04">
        <w:t xml:space="preserve">Поправки вносятся в закон </w:t>
      </w:r>
      <w:r w:rsidR="00401C97">
        <w:t>«</w:t>
      </w:r>
      <w:r w:rsidRPr="00BF5E04">
        <w:t>О консолидированной финансовой отчетности</w:t>
      </w:r>
      <w:r w:rsidR="00401C97">
        <w:t>»</w:t>
      </w:r>
      <w:r w:rsidRPr="00BF5E04">
        <w:t xml:space="preserve"> и </w:t>
      </w:r>
      <w:r w:rsidR="00401C97">
        <w:t>«</w:t>
      </w:r>
      <w:r w:rsidRPr="00BF5E04">
        <w:t>О рынке ценных бумаг</w:t>
      </w:r>
      <w:r w:rsidR="00401C97">
        <w:t>»</w:t>
      </w:r>
      <w:r w:rsidRPr="00BF5E04">
        <w:t>. Закон предоставляет право не составлять собственную консолидированную финансовую отчетность некоторым организациям финансового рынка. Это право распространяется на страховые организации (за исключением медицинских, работающих исключительно в сфере ОМС), негосударственные пенсионные фонды и управляющие компании.</w:t>
      </w:r>
    </w:p>
    <w:p w14:paraId="6ABC23F9" w14:textId="77777777" w:rsidR="00392034" w:rsidRPr="00BF5E04" w:rsidRDefault="00392034" w:rsidP="00392034">
      <w:r w:rsidRPr="00BF5E04">
        <w:lastRenderedPageBreak/>
        <w:t>Освобождение от отчетности возможно при одновременном соблюдении трех условий: у организации нет ценных бумаг, допущенных к организованным торгам; ее участники уведомлены о таком намерении и согласны с ним; финансовая информация организации включается в консолидированную отчетность другой компании внутри группы.</w:t>
      </w:r>
    </w:p>
    <w:p w14:paraId="4EBCEA36" w14:textId="26C62C7D" w:rsidR="00392034" w:rsidRPr="00BF5E04" w:rsidRDefault="00392034" w:rsidP="00392034">
      <w:r w:rsidRPr="00BF5E04">
        <w:t xml:space="preserve">Как пояснил член комитета по бюджету и налогам Никита Чаплин (фракция </w:t>
      </w:r>
      <w:r w:rsidR="00401C97">
        <w:t>«</w:t>
      </w:r>
      <w:r w:rsidRPr="00BF5E04">
        <w:t>Единая Россия</w:t>
      </w:r>
      <w:r w:rsidR="00401C97">
        <w:t>»</w:t>
      </w:r>
      <w:r w:rsidRPr="00BF5E04">
        <w:t xml:space="preserve">), в настоящее время бизнес часто вынужден готовить одни и те же отчеты по несколько раз - и за себя, и за </w:t>
      </w:r>
      <w:r w:rsidR="00401C97">
        <w:t>«</w:t>
      </w:r>
      <w:r w:rsidRPr="00BF5E04">
        <w:t>материнскую</w:t>
      </w:r>
      <w:r w:rsidR="00401C97">
        <w:t>»</w:t>
      </w:r>
      <w:r w:rsidRPr="00BF5E04">
        <w:t xml:space="preserve"> структуру. </w:t>
      </w:r>
      <w:r w:rsidR="00401C97">
        <w:t>«</w:t>
      </w:r>
      <w:r w:rsidRPr="00BF5E04">
        <w:t>Это создает избыточную нагрузку на финансовые службы компаний, отвлекает ресурсы, которые могли бы быть направлены на развитие. Принятый документ устраняет это дублирование: если информация о дочерней организации уже включена в консолидированный отчет группы, и она не торгуется на бирже, зачем заставлять ее проходить ту же процедуру повторно? Мы вводим механизм, при котором решение об отказе от составления отдельной отчетности принимается самим бизнесом, но под контролем акционеров или учредителей - их согласие обязательно</w:t>
      </w:r>
      <w:r w:rsidR="00401C97">
        <w:t>»</w:t>
      </w:r>
      <w:r w:rsidRPr="00BF5E04">
        <w:t>, - указал он.</w:t>
      </w:r>
    </w:p>
    <w:p w14:paraId="407202E4" w14:textId="05232C7D" w:rsidR="00392034" w:rsidRPr="00BF5E04" w:rsidRDefault="00392034" w:rsidP="00392034">
      <w:r w:rsidRPr="00BF5E04">
        <w:t xml:space="preserve">Важно, что это право не распространяется на кредитные организации и участников рынка, для которых особая отчетность требуется по другим федеральным законам, подчеркнул Чаплин. </w:t>
      </w:r>
      <w:r w:rsidR="00401C97">
        <w:t>«</w:t>
      </w:r>
      <w:r w:rsidRPr="00BF5E04">
        <w:t>Таким образом, мы снижаем административное давление на компании, сохраняя при этом полноту информации для контроля и надзора. Это разумное упрощение, которое позволит предпринимателям сосредоточиться на реальных задачах, а не на бумажной работе</w:t>
      </w:r>
      <w:r w:rsidR="00401C97">
        <w:t>»</w:t>
      </w:r>
      <w:r w:rsidRPr="00BF5E04">
        <w:t>, - указал депутат.</w:t>
      </w:r>
    </w:p>
    <w:p w14:paraId="605FDCCC" w14:textId="53365702" w:rsidR="00AD4EA0" w:rsidRPr="00BF5E04" w:rsidRDefault="00392034" w:rsidP="00392034">
      <w:hyperlink r:id="rId8" w:history="1">
        <w:r w:rsidRPr="00BF5E04">
          <w:rPr>
            <w:rStyle w:val="a3"/>
          </w:rPr>
          <w:t>https://tass.ru/ekonomika/26480493</w:t>
        </w:r>
      </w:hyperlink>
    </w:p>
    <w:p w14:paraId="01F17C04" w14:textId="77777777" w:rsidR="0043165C" w:rsidRPr="00BF5E04" w:rsidRDefault="0043165C" w:rsidP="0043165C">
      <w:pPr>
        <w:pStyle w:val="2"/>
      </w:pPr>
      <w:bookmarkStart w:id="33" w:name="ф2"/>
      <w:bookmarkStart w:id="34" w:name="_Toc222380313"/>
      <w:bookmarkEnd w:id="33"/>
      <w:r w:rsidRPr="00BF5E04">
        <w:t>ТАСС, 18.02.2026, Около 60% опрошенных россиян сочли нормой финансово поддерживать детей до 25 лет</w:t>
      </w:r>
      <w:bookmarkEnd w:id="34"/>
    </w:p>
    <w:p w14:paraId="282F4D2B" w14:textId="25907708" w:rsidR="0043165C" w:rsidRPr="00BF5E04" w:rsidRDefault="0043165C" w:rsidP="001A12F0">
      <w:pPr>
        <w:pStyle w:val="3"/>
      </w:pPr>
      <w:bookmarkStart w:id="35" w:name="_Toc222380314"/>
      <w:r w:rsidRPr="00BF5E04">
        <w:t xml:space="preserve">Порядка 60% россиян считают, что родителям следует оказывать финансовую поддержку своим взрослым детям до 25 лет. Среди самых популярных потенциальных расходов - первый взнос по ипотеке, аренда жилья и обучение в вузе, говорится в результатах опроса, проведенного НПФ </w:t>
      </w:r>
      <w:r w:rsidR="00401C97">
        <w:t>«</w:t>
      </w:r>
      <w:r w:rsidRPr="00BF5E04">
        <w:t>Эволюция</w:t>
      </w:r>
      <w:r w:rsidR="00401C97">
        <w:t>»</w:t>
      </w:r>
      <w:r w:rsidRPr="00BF5E04">
        <w:t xml:space="preserve"> (есть в распоряжении ТАСС).</w:t>
      </w:r>
      <w:bookmarkEnd w:id="35"/>
    </w:p>
    <w:p w14:paraId="39B02871" w14:textId="64FE7FC4" w:rsidR="0043165C" w:rsidRPr="00BF5E04" w:rsidRDefault="0043165C" w:rsidP="0043165C">
      <w:r w:rsidRPr="00BF5E04">
        <w:t xml:space="preserve">Так, по результатам опроса, на вопрос </w:t>
      </w:r>
      <w:r w:rsidR="00401C97">
        <w:t>«</w:t>
      </w:r>
      <w:r w:rsidRPr="00BF5E04">
        <w:t>До какого возраста родителям следует обеспечивать ребенка?</w:t>
      </w:r>
      <w:r w:rsidR="00401C97">
        <w:t>»</w:t>
      </w:r>
      <w:r w:rsidRPr="00BF5E04">
        <w:t xml:space="preserve"> больше половины опрошенных (61%) ответили, что до 25 лет. Еще 8% указали возраст до 28 лет, но только если юноша или девушка получают очное образование в вузе. 2% готовы помогать детям до женитьбы, при этом неважно в каком возрасте состоится это событие. Еще 10% участников опроса придерживаются мнения, что ребенку следует помогать финансово столько, сколько потребуется. Респонденты объясняют свой выбор тем, что родители должны быть </w:t>
      </w:r>
      <w:r w:rsidR="00401C97">
        <w:t>«</w:t>
      </w:r>
      <w:r w:rsidRPr="00BF5E04">
        <w:t>надежным тылом</w:t>
      </w:r>
      <w:r w:rsidR="00401C97">
        <w:t>»</w:t>
      </w:r>
      <w:r w:rsidRPr="00BF5E04">
        <w:t xml:space="preserve"> для детей. Но есть и те, кто убежден, что длительная поддержка детей, наоборот, мешает им и может сделать их инфантильными. Так, каждый десятый респондент (10%) признался, что готов поддерживать ребенка только до 18-летия.</w:t>
      </w:r>
    </w:p>
    <w:p w14:paraId="360C3BE9" w14:textId="54D26314" w:rsidR="0043165C" w:rsidRPr="00BF5E04" w:rsidRDefault="0043165C" w:rsidP="0043165C">
      <w:r w:rsidRPr="00BF5E04">
        <w:t xml:space="preserve">На вопрос </w:t>
      </w:r>
      <w:r w:rsidR="00401C97">
        <w:t>«</w:t>
      </w:r>
      <w:r w:rsidRPr="00BF5E04">
        <w:t>Был ли в вашей жизни опыт, когда родители помогали детям?</w:t>
      </w:r>
      <w:r w:rsidR="00401C97">
        <w:t>»</w:t>
      </w:r>
      <w:r w:rsidRPr="00BF5E04">
        <w:t xml:space="preserve"> 50% опрошенных ответили, что получали такую поддержку от своих родителей, а почти четверть респондентов (24%) рассказали, что обеспечивали своих взрослых детей.</w:t>
      </w:r>
    </w:p>
    <w:p w14:paraId="0E6330B7" w14:textId="0D9D9447" w:rsidR="0043165C" w:rsidRPr="00BF5E04" w:rsidRDefault="0043165C" w:rsidP="0043165C">
      <w:r w:rsidRPr="00BF5E04">
        <w:t xml:space="preserve">Отвечая на вопрос </w:t>
      </w:r>
      <w:r w:rsidR="00401C97">
        <w:t>«</w:t>
      </w:r>
      <w:r w:rsidRPr="00BF5E04">
        <w:t>Как родители должны помогать своим взрослым детям?</w:t>
      </w:r>
      <w:r w:rsidR="00401C97">
        <w:t>»</w:t>
      </w:r>
      <w:r w:rsidRPr="00BF5E04">
        <w:t xml:space="preserve">, больше половины респондентов (62%) ответили, что им следует оплачивать обучение в вузе, </w:t>
      </w:r>
      <w:r w:rsidRPr="00BF5E04">
        <w:lastRenderedPageBreak/>
        <w:t>20% - финансировать аренду жилья, 17% - помочь с оплатой первого взноса по ипотеке. Поддерживать детей в воспитании внуков планируют 14% респондентов.</w:t>
      </w:r>
    </w:p>
    <w:p w14:paraId="0E509282" w14:textId="77777777" w:rsidR="0043165C" w:rsidRPr="00BF5E04" w:rsidRDefault="0043165C" w:rsidP="0043165C">
      <w:r w:rsidRPr="00BF5E04">
        <w:t>Несмотря на то, что почти 70% респондентов положительно относятся к идее помогать детям, откладывать деньги на финансовую поддержку своего ребенка готовы не все. Формировать накопления собираются 43%. Из них почти четверть (24%) рассчитывают накопить на совершеннолетие ребенка не менее 1 млн рублей, 12% респондентов назвали сумму до 2 млн рублей, 4% - до 10 млн рублей, 2% россиян рассчитывают накопить для своего ребенка сумму свыше 10 млн рублей.</w:t>
      </w:r>
    </w:p>
    <w:p w14:paraId="44113747" w14:textId="77777777" w:rsidR="0043165C" w:rsidRPr="00BF5E04" w:rsidRDefault="0043165C" w:rsidP="0043165C">
      <w:r w:rsidRPr="00BF5E04">
        <w:t>Опрос проводился по всей России в феврале 2026 года методом онлайн-анкетирования среди 1,5 тыс. респондентов.</w:t>
      </w:r>
    </w:p>
    <w:p w14:paraId="6BB9A564" w14:textId="684B5092" w:rsidR="00392034" w:rsidRDefault="0043165C" w:rsidP="0043165C">
      <w:hyperlink r:id="rId9" w:history="1">
        <w:r w:rsidRPr="00BF5E04">
          <w:rPr>
            <w:rStyle w:val="a3"/>
          </w:rPr>
          <w:t>https://tass.ru/obschestvo/26478967</w:t>
        </w:r>
      </w:hyperlink>
    </w:p>
    <w:p w14:paraId="58301A7B" w14:textId="723C8202" w:rsidR="008A72AD" w:rsidRPr="00BF5E04" w:rsidRDefault="008A72AD" w:rsidP="008A72AD">
      <w:r>
        <w:t xml:space="preserve"> </w:t>
      </w:r>
    </w:p>
    <w:p w14:paraId="460B477A" w14:textId="77777777" w:rsidR="005B5547" w:rsidRPr="00BF5E04" w:rsidRDefault="005B5547" w:rsidP="005B5547">
      <w:pPr>
        <w:pStyle w:val="2"/>
      </w:pPr>
      <w:bookmarkStart w:id="36" w:name="_Toc222380315"/>
      <w:r w:rsidRPr="00BF5E04">
        <w:t>Ведомости, 17.02.2026, От мала до велика: россияне рассказали, до какого возраста нужно содержать взрослых детей</w:t>
      </w:r>
      <w:bookmarkEnd w:id="36"/>
    </w:p>
    <w:p w14:paraId="39C1FA6C" w14:textId="77777777" w:rsidR="005B5547" w:rsidRPr="00BF5E04" w:rsidRDefault="005B5547" w:rsidP="001A12F0">
      <w:pPr>
        <w:pStyle w:val="3"/>
      </w:pPr>
      <w:bookmarkStart w:id="37" w:name="_Toc222380316"/>
      <w:r w:rsidRPr="00BF5E04">
        <w:t>Больше половины россиян (69%) считают, что родителям следует оказывать финансовую поддержку своим взрослым детям как минимум до 25 лет. Среди самых популярных потенциальных расходов - первый взнос по ипотеке, аренда жилья и обучение в вузе. При этом формировать накопления на эти цели готово 43%. Такие результаты получил НПФ Эволюция в ходе исследования, проведенного в феврале 2026 года методом онлайн-анкетирования среди 1,5 тыс. респондентов по всей стране.</w:t>
      </w:r>
      <w:bookmarkEnd w:id="37"/>
    </w:p>
    <w:p w14:paraId="61B0D8AD" w14:textId="226ACE9F" w:rsidR="005B5547" w:rsidRPr="00BF5E04" w:rsidRDefault="005B5547" w:rsidP="005B5547">
      <w:r w:rsidRPr="00BF5E04">
        <w:t xml:space="preserve">На вопрос </w:t>
      </w:r>
      <w:r w:rsidR="00401C97">
        <w:t>«</w:t>
      </w:r>
      <w:r w:rsidRPr="00BF5E04">
        <w:t>До какого возраста родителям следует обеспечивать ребенка?</w:t>
      </w:r>
      <w:r w:rsidR="00401C97">
        <w:t>»</w:t>
      </w:r>
      <w:r w:rsidRPr="00BF5E04">
        <w:t xml:space="preserve"> больше половины опрошенных (61%) ответили, что до 25 лет. Еще 8% указали возраст до 28 лет, но только если юноша или девушка получают очное образование в вузе. 2% готовы помогать детям до женитьбы, при этом неважно в каком возрасте состоится это важное событие. Еще 10% участников опроса придерживаются мнения, что ребенку следует помогать финансово столько, сколько потребуется. Респонденты объясняют свой выбор тем, что родители должны быть </w:t>
      </w:r>
      <w:r w:rsidR="00401C97">
        <w:t>«</w:t>
      </w:r>
      <w:r w:rsidRPr="00BF5E04">
        <w:t>надежным тылом</w:t>
      </w:r>
      <w:r w:rsidR="00401C97">
        <w:t>»</w:t>
      </w:r>
      <w:r w:rsidRPr="00BF5E04">
        <w:t xml:space="preserve"> для детей. Но есть и те, кто убежден, что длительная поддержка детей, наоборот, мешает им и может сделать их инфантильными. Так, каждый десятый респондент (10%) признался, что готов поддерживать свое чадо только до 18-летия.</w:t>
      </w:r>
    </w:p>
    <w:p w14:paraId="58753DB6" w14:textId="631EBA40" w:rsidR="005B5547" w:rsidRPr="00BF5E04" w:rsidRDefault="005B5547" w:rsidP="005B5547">
      <w:r w:rsidRPr="00BF5E04">
        <w:t xml:space="preserve">Респондентов спросили: </w:t>
      </w:r>
      <w:r w:rsidR="00401C97">
        <w:t>«</w:t>
      </w:r>
      <w:r w:rsidRPr="00BF5E04">
        <w:t>Был ли в вашей жизни опыт, когда родители помогали детям?</w:t>
      </w:r>
      <w:r w:rsidR="00401C97">
        <w:t>»</w:t>
      </w:r>
      <w:r w:rsidRPr="00BF5E04">
        <w:t>. Половина опрошенных (50%) ответила, что получала такую поддержку от своих родителей, а почти четверть респондентов (24%) рассказала, что обеспечивала своих взрослых детей. Более детальные ответы по этому вопросу представлены в Графике № 1.</w:t>
      </w:r>
    </w:p>
    <w:p w14:paraId="24CD594B" w14:textId="5E09B3C4" w:rsidR="005B5547" w:rsidRPr="00BF5E04" w:rsidRDefault="005B5547" w:rsidP="005B5547">
      <w:r w:rsidRPr="00BF5E04">
        <w:t xml:space="preserve">Отвечая на вопрос </w:t>
      </w:r>
      <w:r w:rsidR="00401C97">
        <w:t>«</w:t>
      </w:r>
      <w:r w:rsidRPr="00BF5E04">
        <w:t>Как родители должны помогать своим взрослым детям?</w:t>
      </w:r>
      <w:r w:rsidR="00401C97">
        <w:t>»</w:t>
      </w:r>
      <w:r w:rsidRPr="00BF5E04">
        <w:t>, больше половины респондентов (62%) ответили, что им следует оплачивать обучение в вузе, 20% - финансировать аренду жилья, 17% - помочь с оплатой первого взноса по ипотеке. Поддерживать детей в воспитании внуков планируют 14% респондентов. Более детальные ответы на этот вопрос представлены в Графике № 2.</w:t>
      </w:r>
    </w:p>
    <w:p w14:paraId="74E7547B" w14:textId="77777777" w:rsidR="005B5547" w:rsidRPr="00BF5E04" w:rsidRDefault="005B5547" w:rsidP="005B5547">
      <w:r w:rsidRPr="00BF5E04">
        <w:lastRenderedPageBreak/>
        <w:t>Несмотря на то, что почти 70% респондентов положительно относятся к идее помогать детям, откладывать деньги на финансовую поддержку своего чада готовы не все. Формировать накопления собираются 43%. Из них почти четверть (24%) рассчитывают накопить на совершеннолетие ребенка не менее 1 млн рублей, 12% респондентов назвали сумму до 2 млн рублей, 4% - до 10 млн рублей, и 2% россиян рассчитывают накопить для своего ребенка сумму свыше 10 млн рублей.</w:t>
      </w:r>
    </w:p>
    <w:p w14:paraId="69A0E266" w14:textId="68264F03" w:rsidR="005B5547" w:rsidRPr="00BF5E04" w:rsidRDefault="00401C97" w:rsidP="005B5547">
      <w:bookmarkStart w:id="38" w:name="_Hlk222329612"/>
      <w:r>
        <w:t>«</w:t>
      </w:r>
      <w:r w:rsidR="005B5547" w:rsidRPr="00BF5E04">
        <w:t xml:space="preserve">Не стоит ждать пока вашему ребенку исполнится 18 лет, формировать накопления для него нужно с малого возраста. Ребенок быстро становится взрослым и думать о том, как ребенку помочь встать на ноги необходимо заранее, - отмечает генеральный директор НПФ Эволюция Елена Тетюнина. - Начинать формировать накопления не обязательно с больших сумм, увеличивать вложения можно постепенно. При этом для таких целей лучше выбирать долгосрочные финансовые инструменты. Рекомендую обратить внимание на продукт от НПФ - программу долгосрочных сбережений в пользу ребенка. Регулярные пополнения </w:t>
      </w:r>
      <w:r>
        <w:t>«</w:t>
      </w:r>
      <w:r w:rsidR="005B5547" w:rsidRPr="00BF5E04">
        <w:t>детского счета</w:t>
      </w:r>
      <w:r>
        <w:t>»</w:t>
      </w:r>
      <w:r w:rsidR="005B5547" w:rsidRPr="00BF5E04">
        <w:t xml:space="preserve"> с учетом софинансирования взносов от государства, налоговых льгот и инвестиционного дохода от НПФ позволят накопить нужную сумму к важному событию в жизни вашего ребёнка</w:t>
      </w:r>
      <w:r>
        <w:t>»</w:t>
      </w:r>
      <w:bookmarkEnd w:id="38"/>
      <w:r w:rsidR="002C6B7C" w:rsidRPr="00BF5E04">
        <w:t>.</w:t>
      </w:r>
    </w:p>
    <w:p w14:paraId="5C1A5CA9" w14:textId="78835084" w:rsidR="005B5547" w:rsidRPr="00BF5E04" w:rsidRDefault="005B5547" w:rsidP="005B5547">
      <w:r w:rsidRPr="00BF5E04">
        <w:t xml:space="preserve">Напомним, </w:t>
      </w:r>
      <w:r w:rsidR="00401C97">
        <w:t>«</w:t>
      </w:r>
      <w:r w:rsidRPr="00BF5E04">
        <w:t>детский</w:t>
      </w:r>
      <w:r w:rsidR="00401C97">
        <w:t>»</w:t>
      </w:r>
      <w:r w:rsidRPr="00BF5E04">
        <w:t xml:space="preserve"> финансовый продукт от НПФ Эволюция включает все основные преимущества программы долгосрочных сбережений:</w:t>
      </w:r>
    </w:p>
    <w:p w14:paraId="7A61B807" w14:textId="77777777" w:rsidR="005B5547" w:rsidRPr="00BF5E04" w:rsidRDefault="005B5547" w:rsidP="005B5547">
      <w:r w:rsidRPr="00BF5E04">
        <w:t>•</w:t>
      </w:r>
      <w:r w:rsidRPr="00BF5E04">
        <w:tab/>
        <w:t>государственное софинансирование взносов до 36 тысяч рублей в год на протяжении 10 лет,</w:t>
      </w:r>
    </w:p>
    <w:p w14:paraId="11DDCF52" w14:textId="77777777" w:rsidR="005B5547" w:rsidRPr="00BF5E04" w:rsidRDefault="005B5547" w:rsidP="005B5547">
      <w:r w:rsidRPr="00BF5E04">
        <w:t>•</w:t>
      </w:r>
      <w:r w:rsidRPr="00BF5E04">
        <w:tab/>
        <w:t>возможность оформить повышенный налоговый вычет в зависимости от суммы взносов и ставки НДФЛ,</w:t>
      </w:r>
    </w:p>
    <w:p w14:paraId="05672A20" w14:textId="77777777" w:rsidR="005B5547" w:rsidRPr="00BF5E04" w:rsidRDefault="005B5547" w:rsidP="005B5547">
      <w:r w:rsidRPr="00BF5E04">
        <w:t>•</w:t>
      </w:r>
      <w:r w:rsidRPr="00BF5E04">
        <w:tab/>
        <w:t>на накопления ежегодно начисляется инвестиционный доход от фонда.</w:t>
      </w:r>
    </w:p>
    <w:p w14:paraId="61C7BCFA" w14:textId="77777777" w:rsidR="005B5547" w:rsidRPr="00BF5E04" w:rsidRDefault="005B5547" w:rsidP="005B5547">
      <w:r w:rsidRPr="00BF5E04">
        <w:t>•</w:t>
      </w:r>
      <w:r w:rsidRPr="00BF5E04">
        <w:tab/>
        <w:t>сбережения участников программы застрахованы Агентством по страхованию вкладов на сумму 2,8 млн. рублей, кроме того без ограничения защищены все средства государственного софинансирования и начисленный на них доход.</w:t>
      </w:r>
    </w:p>
    <w:p w14:paraId="46A9BB3B" w14:textId="77777777" w:rsidR="005B5547" w:rsidRPr="00BF5E04" w:rsidRDefault="005B5547" w:rsidP="005B5547">
      <w:r w:rsidRPr="00BF5E04">
        <w:t>•</w:t>
      </w:r>
      <w:r w:rsidRPr="00BF5E04">
        <w:tab/>
        <w:t xml:space="preserve">за выплатой по программе ребенок сможет обратиться через 15 лет с даты заключения договора. В том числе до своего 18-летия с согласия официального представителя. Важно, что накопления также можно получить досрочно в случае особых жизненных ситуаций: оплата дорогостоящего лечения или потеря кормильца. </w:t>
      </w:r>
    </w:p>
    <w:p w14:paraId="7A648F43" w14:textId="6C83FDAC" w:rsidR="005B5547" w:rsidRPr="008A72AD" w:rsidRDefault="005B5547" w:rsidP="005B5547">
      <w:hyperlink r:id="rId10" w:history="1">
        <w:r w:rsidRPr="00BF5E04">
          <w:rPr>
            <w:rStyle w:val="a3"/>
          </w:rPr>
          <w:t>https://www.vedomosti.ru/press_releases/2026/02/17/ot-mala-do-velika-rossiyane-rasskazali-do-kakogo-vozrasta-nuzhno-soderzhat-vzroslih-detei</w:t>
        </w:r>
      </w:hyperlink>
      <w:r w:rsidRPr="00BF5E04">
        <w:t xml:space="preserve"> </w:t>
      </w:r>
    </w:p>
    <w:p w14:paraId="56AFDBCB" w14:textId="77777777" w:rsidR="008A72AD" w:rsidRDefault="008A72AD" w:rsidP="008A72AD">
      <w:pPr>
        <w:pStyle w:val="2"/>
      </w:pPr>
      <w:bookmarkStart w:id="39" w:name="_Toc222380317"/>
      <w:r>
        <w:t>АК&amp;М, 19.02.2026</w:t>
      </w:r>
      <w:r w:rsidRPr="008A72AD">
        <w:t xml:space="preserve">, </w:t>
      </w:r>
      <w:r>
        <w:t>НПФ «Благосостояние» отмечает 30-летие</w:t>
      </w:r>
      <w:bookmarkEnd w:id="39"/>
    </w:p>
    <w:p w14:paraId="338FDA22" w14:textId="77777777" w:rsidR="008A72AD" w:rsidRDefault="008A72AD" w:rsidP="008A72AD">
      <w:pPr>
        <w:pStyle w:val="3"/>
      </w:pPr>
      <w:bookmarkStart w:id="40" w:name="_Toc222380318"/>
      <w:r>
        <w:t>19 февраля 2026 года исполняется 30 лет с момента основания НПФ «Благосостояние». Фонд встречает юбилей в статусе лидера российского рынка по количеству получателей негосударственной пенсии и объему пенсионных резервов в управлении.</w:t>
      </w:r>
      <w:bookmarkEnd w:id="40"/>
    </w:p>
    <w:p w14:paraId="30B00698" w14:textId="77777777" w:rsidR="008A72AD" w:rsidRDefault="008A72AD" w:rsidP="008A72AD">
      <w:r>
        <w:t xml:space="preserve">С момента основания фонд специализируется на корпоративном пенсионном обеспечении. НПФ «БЛАГОСОСТОЯНИЕ» реализует крупнейшую отраслевую пенсионную систему в России — железнодорожной отрасли. Сегодня она является примером социального партнерства: доступна всем работникам, включает выгодные опции накопления и вариативные выплаты. Более 86% сотрудников ОАО «РЖД» </w:t>
      </w:r>
      <w:r>
        <w:lastRenderedPageBreak/>
        <w:t>участвуют в отраслевой пенсионной системе. Всего корпоративные пенсии через фонд получают работники порядка 360 компаний, а общее количество назначенных пенсий достигло 600 тысяч.</w:t>
      </w:r>
    </w:p>
    <w:p w14:paraId="6BF9D08E" w14:textId="77777777" w:rsidR="008A72AD" w:rsidRDefault="008A72AD" w:rsidP="008A72AD">
      <w:r>
        <w:t>НПФ «БЛАГОСОСТОЯНИЕ» управляет пенсионными сбережениями по негосударственному пенсионному обеспечению (НПО), осуществляет деятельность по обязательному пенсионному страхованию (ОПС), с 2024 года выступает оператором государственной программы долгосрочных сбережений (ПДС). В 2026 году общее количество клиентов фонда превысило 1,3 миллиона человек.</w:t>
      </w:r>
    </w:p>
    <w:p w14:paraId="69C2C188" w14:textId="77777777" w:rsidR="008A72AD" w:rsidRDefault="008A72AD" w:rsidP="008A72AD">
      <w:r>
        <w:t>Главный приоритет фонда — безопасность и надежность доверенных сбережений. Средства клиентов застрахованы ГК «Агентство по страхованию вкладов». Сбалансированная инвестиционная стратегия обеспечивает стабильную доходность: по итогам 2025 года доходность по программам НПО (на этапе накопления) составила 16,1% годовых, по ОПС — 16,59%, по ПДС — 20%. Фонд также регулярно индексирует пенсионные выплаты отдельным категориям получателей.</w:t>
      </w:r>
    </w:p>
    <w:p w14:paraId="6F877876" w14:textId="77777777" w:rsidR="008A72AD" w:rsidRDefault="008A72AD" w:rsidP="008A72AD">
      <w:r>
        <w:t>НПФ «БЛАГОСОСТОЯНИЕ» стремится к максимальной доступности услуг. Региональная сеть насчитывает 70 представительств по всей России, а в отдаленных населенных пунктах работает выездная служба. Для удобства клиентов действуют единый контакт-центр и онлайн-кабинет, где можно заключить договор ПДС, пополнить счет, подключить автоплатеж и подать заявление на выплату.</w:t>
      </w:r>
    </w:p>
    <w:p w14:paraId="3B2542F3" w14:textId="77777777" w:rsidR="008A72AD" w:rsidRDefault="008A72AD" w:rsidP="008A72AD">
      <w:r>
        <w:t>Сегодня НПФ «БЛАГОСОСТОЯНИЕ» имеет статус общественно значимой финансовой организации. Масштаб деятельности и накопленная экспертиза позволяют фонду участвовать в разработке отраслевых стандартов и инициатив по развитию долгосрочных финансовых продуктов в России.</w:t>
      </w:r>
    </w:p>
    <w:p w14:paraId="1F863653" w14:textId="77777777" w:rsidR="008A72AD" w:rsidRDefault="008A72AD" w:rsidP="008A72AD">
      <w:r>
        <w:t>Пресс-релиз подготовлен на основании материала, предоставленного организацией. Информационное агентство AK&amp;M не несет ответственности за содержание пресс-релиза, правовые и иные последствия его опубликования.</w:t>
      </w:r>
    </w:p>
    <w:p w14:paraId="421FBD59" w14:textId="7ADEE404" w:rsidR="008A72AD" w:rsidRPr="008A72AD" w:rsidRDefault="008A72AD" w:rsidP="008A72AD">
      <w:hyperlink r:id="rId11" w:history="1">
        <w:r w:rsidRPr="007C3F20">
          <w:rPr>
            <w:rStyle w:val="a3"/>
          </w:rPr>
          <w:t>https://www.akm.ru/press/npf_blagosostoyanie_otmechaet_30_letie/</w:t>
        </w:r>
      </w:hyperlink>
    </w:p>
    <w:p w14:paraId="13C857B8" w14:textId="196297D3" w:rsidR="005B5547" w:rsidRPr="00BF5E04" w:rsidRDefault="005B5547" w:rsidP="005B5547">
      <w:pPr>
        <w:pStyle w:val="2"/>
      </w:pPr>
      <w:bookmarkStart w:id="41" w:name="_Toc222380319"/>
      <w:r w:rsidRPr="00BF5E04">
        <w:t xml:space="preserve">Ваш Пенсионный Брокер, 18.02.2026, О предоставлении лицензии ООО УК </w:t>
      </w:r>
      <w:r w:rsidR="00401C97">
        <w:t>«</w:t>
      </w:r>
      <w:r w:rsidRPr="00BF5E04">
        <w:t>ТРАСТ ФИНАНС</w:t>
      </w:r>
      <w:r w:rsidR="00401C97">
        <w:t>»</w:t>
      </w:r>
      <w:bookmarkEnd w:id="41"/>
    </w:p>
    <w:p w14:paraId="07D9DD94" w14:textId="0048FD1A" w:rsidR="005B5547" w:rsidRPr="00BF5E04" w:rsidRDefault="005B5547" w:rsidP="001A12F0">
      <w:pPr>
        <w:pStyle w:val="3"/>
      </w:pPr>
      <w:bookmarkStart w:id="42" w:name="_Toc222380320"/>
      <w:r w:rsidRPr="00BF5E04">
        <w:t xml:space="preserve">Банк России 17.02.2026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21-000-1-01176 ОБЩЕСТВУ С ОГРАНИЧЕННОЙ ОТВЕТСТВЕННОСТЬЮ УПРАВЛЯЮЩЕЙ КОМПАНИИ </w:t>
      </w:r>
      <w:r w:rsidR="00401C97">
        <w:t>«</w:t>
      </w:r>
      <w:r w:rsidRPr="00BF5E04">
        <w:t>ТРАСТ ФИНАНС</w:t>
      </w:r>
      <w:r w:rsidR="00401C97">
        <w:t>»</w:t>
      </w:r>
      <w:r w:rsidRPr="00BF5E04">
        <w:t xml:space="preserve"> (Нижегородская область, г.о. город Нижний Новгород, г. Нижний Новгород).</w:t>
      </w:r>
      <w:bookmarkEnd w:id="42"/>
    </w:p>
    <w:p w14:paraId="0C820344" w14:textId="2DB94DCD" w:rsidR="0043165C" w:rsidRPr="00BF5E04" w:rsidRDefault="005B5547" w:rsidP="005B5547">
      <w:hyperlink r:id="rId12" w:history="1">
        <w:r w:rsidRPr="00BF5E04">
          <w:rPr>
            <w:rStyle w:val="a3"/>
          </w:rPr>
          <w:t>http://pbroker.ru/?p=81644</w:t>
        </w:r>
      </w:hyperlink>
    </w:p>
    <w:p w14:paraId="1B78D7E3" w14:textId="77777777" w:rsidR="00741104" w:rsidRPr="00BF5E04" w:rsidRDefault="00741104" w:rsidP="00741104">
      <w:pPr>
        <w:pStyle w:val="2"/>
      </w:pPr>
      <w:bookmarkStart w:id="43" w:name="ф3"/>
      <w:bookmarkStart w:id="44" w:name="_Toc222380321"/>
      <w:bookmarkEnd w:id="43"/>
      <w:r w:rsidRPr="00BF5E04">
        <w:lastRenderedPageBreak/>
        <w:t>РБК, 18.02.2026, Более 3,2 млрд рублей выплатил Ханты-Мансийский НПФ клиентам за 2025 год</w:t>
      </w:r>
      <w:bookmarkEnd w:id="44"/>
    </w:p>
    <w:p w14:paraId="1E8A1B39" w14:textId="32CA8363" w:rsidR="00741104" w:rsidRPr="00BF5E04" w:rsidRDefault="00741104" w:rsidP="001A12F0">
      <w:pPr>
        <w:pStyle w:val="3"/>
      </w:pPr>
      <w:bookmarkStart w:id="45" w:name="_Toc222380322"/>
      <w:r w:rsidRPr="00BF5E04">
        <w:t>Ханты-Мансийский негосударственный пенсионный фонд (НПФ) отчитался о результатах финансовой деятельности за 2025 год. По данным фонда, выплаты в рамках обязательного пенсионного страхования (ОПС) составили 719,1 миллиона рублей. Средства направлены получателям в установленные сроки.</w:t>
      </w:r>
      <w:bookmarkEnd w:id="45"/>
    </w:p>
    <w:p w14:paraId="33430FBB" w14:textId="3CA0B50D" w:rsidR="00741104" w:rsidRPr="00BF5E04" w:rsidRDefault="00741104" w:rsidP="00741104">
      <w:r w:rsidRPr="00BF5E04">
        <w:t xml:space="preserve">В сегменте негосударственного пенсионного обеспечения (НПО) Ханты-Мансийский НПФ выплатил 2 465,1 миллиона рублей </w:t>
      </w:r>
      <w:r w:rsidR="007D6009" w:rsidRPr="00BF5E04">
        <w:t>–</w:t>
      </w:r>
      <w:r w:rsidRPr="00BF5E04">
        <w:t xml:space="preserve"> это направление остается ключевым в структуре выплат. По договорам долгосрочных сбережений, запущенных в рамках новой государственной программы по поручению Президента России, выплачено 13,3 миллиона рублей. Программа новой пенсионной системы демонстрирует постепенное масштабирование среди клиентов Ханты-Мансийского НПФ из регионов присутствия.</w:t>
      </w:r>
    </w:p>
    <w:p w14:paraId="2EBF515A" w14:textId="77777777" w:rsidR="00741104" w:rsidRPr="00BF5E04" w:rsidRDefault="00741104" w:rsidP="00741104">
      <w:r w:rsidRPr="00BF5E04">
        <w:t>Ханты-Мансийский негосударственный пенсионный фонд работает на рынке с 1995 года, реализует программы обязательного пенсионного страхования, негосударственного пенсионного обеспечения и долгосрочных сбережений. Деятельность фонда осуществляется на основании лицензии Банка России № 56/2 от 04.05.2006 года.</w:t>
      </w:r>
    </w:p>
    <w:p w14:paraId="61A8102C" w14:textId="5B0A46DF" w:rsidR="005B5547" w:rsidRPr="00BF5E04" w:rsidRDefault="00741104" w:rsidP="00741104">
      <w:hyperlink r:id="rId13" w:history="1">
        <w:r w:rsidRPr="00BF5E04">
          <w:rPr>
            <w:rStyle w:val="a3"/>
          </w:rPr>
          <w:t>https://companies.rbc.ru/news/rbfXzZOJwD/bolee-32-mlrd-rublej-vyiplatil-hantyi-mansijskij-npf-klientam-za-2025-god/</w:t>
        </w:r>
      </w:hyperlink>
    </w:p>
    <w:p w14:paraId="0C95D574" w14:textId="01660D8D" w:rsidR="00CD1C3B" w:rsidRDefault="00CD1C3B" w:rsidP="00CD1C3B">
      <w:pPr>
        <w:pStyle w:val="2"/>
      </w:pPr>
      <w:bookmarkStart w:id="46" w:name="_Toc222380323"/>
      <w:r>
        <w:t xml:space="preserve">Kotovse, 18.02.2026, Жители Тюмени получили от НПФ </w:t>
      </w:r>
      <w:r w:rsidR="00401C97">
        <w:t>«</w:t>
      </w:r>
      <w:r>
        <w:t>БУДУЩЕЕ</w:t>
      </w:r>
      <w:r w:rsidR="00401C97">
        <w:t>»</w:t>
      </w:r>
      <w:r>
        <w:t xml:space="preserve"> выплат на 212 млн рублей в 2025 году</w:t>
      </w:r>
      <w:bookmarkEnd w:id="46"/>
    </w:p>
    <w:p w14:paraId="6B2A7604" w14:textId="3DB872E4" w:rsidR="00CD1C3B" w:rsidRDefault="00CD1C3B" w:rsidP="001A12F0">
      <w:pPr>
        <w:pStyle w:val="3"/>
      </w:pPr>
      <w:bookmarkStart w:id="47" w:name="_Toc222380324"/>
      <w:r>
        <w:t xml:space="preserve">По итогам 2025 года </w:t>
      </w:r>
      <w:r w:rsidRPr="001A12F0">
        <w:t>НПФ</w:t>
      </w:r>
      <w:r>
        <w:t xml:space="preserve"> </w:t>
      </w:r>
      <w:r w:rsidR="00401C97">
        <w:t>«</w:t>
      </w:r>
      <w:r>
        <w:t>БУДУЩЕЕ</w:t>
      </w:r>
      <w:r w:rsidR="00401C97">
        <w:t>»</w:t>
      </w:r>
      <w:r>
        <w:t xml:space="preserve"> выплатил жителям Тюмени пенсии на сумму 212 млн руб., что на 24% больше, чем годом ранее. Большую часть из этой суммы составили пенсии в рамках договоров обязательного пенсионного страхования (ОПС) - 128 млн руб. Объем выплат негосударственных пенсий по договорам негосударственного пенсионного обеспечения (НПО) составил 84 млн руб.</w:t>
      </w:r>
      <w:bookmarkEnd w:id="47"/>
    </w:p>
    <w:p w14:paraId="56FE699B" w14:textId="57E6A2BD" w:rsidR="00CD1C3B" w:rsidRDefault="00CD1C3B" w:rsidP="00CD1C3B">
      <w:r>
        <w:t xml:space="preserve">Во всех регионах России за 12 месяцев 2025 года НПФ </w:t>
      </w:r>
      <w:r w:rsidR="00401C97">
        <w:t>«</w:t>
      </w:r>
      <w:r>
        <w:t>БУДУЩЕЕ</w:t>
      </w:r>
      <w:r w:rsidR="00401C97">
        <w:t>»</w:t>
      </w:r>
      <w:r>
        <w:t xml:space="preserve"> перечислил клиентам пенсионных выплат на сумму 12,7 млрд руб. Это на 75% больше в сравнении с 2024 годом. Существенный рост выплат произошел после завершения реорганизации с присоединением к НПФ </w:t>
      </w:r>
      <w:r w:rsidR="00401C97">
        <w:t>«</w:t>
      </w:r>
      <w:r>
        <w:t>БУДУЩЕЕ</w:t>
      </w:r>
      <w:r w:rsidR="00401C97">
        <w:t>»</w:t>
      </w:r>
      <w:r>
        <w:t xml:space="preserve"> шести фондов.</w:t>
      </w:r>
    </w:p>
    <w:p w14:paraId="792641FC" w14:textId="77777777" w:rsidR="00CD1C3B" w:rsidRDefault="00CD1C3B" w:rsidP="00CD1C3B">
      <w:r>
        <w:t>Значительная часть выплат россиянам от фонда пришлась на пенсии в рамках договоров ОПС. В 2025 году клиенты фонда получили по таким договорам 11,4 млрд руб., что на 62% больше, чем в 2024 году. Всего в рамках ОПС жители Тюмени получили 128 млн руб., что на 30% больше показателей 2024 года.</w:t>
      </w:r>
    </w:p>
    <w:p w14:paraId="4BBE6937" w14:textId="17B50FE7" w:rsidR="00CD1C3B" w:rsidRDefault="00CD1C3B" w:rsidP="00CD1C3B">
      <w:r>
        <w:t xml:space="preserve">В сегменте НПО фонд выплатил россиянам 1,7 млрд руб. В сравнении с 2024 годом наблюдался прирост в 6,8 раза. Число получателей негосударственных пенсий в НПФ </w:t>
      </w:r>
      <w:r w:rsidR="00401C97">
        <w:t>«</w:t>
      </w:r>
      <w:r>
        <w:t>БУДУЩЕЕ</w:t>
      </w:r>
      <w:r w:rsidR="00401C97">
        <w:t>»</w:t>
      </w:r>
      <w:r>
        <w:t xml:space="preserve"> за год также выросло более чем в 8 раз, до 155 тыс. человек. Динамика показателей учитывает завершившуюся в сентябре 2025 года реорганизацию фонда. НПФ </w:t>
      </w:r>
      <w:r w:rsidR="00401C97">
        <w:t>«</w:t>
      </w:r>
      <w:r>
        <w:t>БУДУЩЕЕ</w:t>
      </w:r>
      <w:r w:rsidR="00401C97">
        <w:t>»</w:t>
      </w:r>
      <w:r>
        <w:t xml:space="preserve"> выплатил пенсии по НПО в Тюмени на сумму 84 млн руб., что на 16% больше, чем в 2024 году.</w:t>
      </w:r>
    </w:p>
    <w:p w14:paraId="73A5CD68" w14:textId="13B839D0" w:rsidR="00741104" w:rsidRDefault="00CD1C3B" w:rsidP="00CD1C3B">
      <w:hyperlink r:id="rId14" w:history="1">
        <w:r w:rsidRPr="0084065F">
          <w:rPr>
            <w:rStyle w:val="a3"/>
          </w:rPr>
          <w:t>https://kotovse.ru/964311-zhiteli-tyumeni-poluchili-ot-npf-budushhee-vyplat-na-m8m/</w:t>
        </w:r>
      </w:hyperlink>
    </w:p>
    <w:p w14:paraId="4831170E" w14:textId="77777777" w:rsidR="00CD1C3B" w:rsidRPr="00BF5E04" w:rsidRDefault="00CD1C3B" w:rsidP="00CD1C3B"/>
    <w:p w14:paraId="3F3BD793" w14:textId="77777777" w:rsidR="00111D7C" w:rsidRPr="00BF5E04" w:rsidRDefault="00111D7C" w:rsidP="00111D7C">
      <w:pPr>
        <w:pStyle w:val="10"/>
      </w:pPr>
      <w:bookmarkStart w:id="48" w:name="_Toc165991073"/>
      <w:bookmarkStart w:id="49" w:name="_Toc99271691"/>
      <w:bookmarkStart w:id="50" w:name="_Toc99318654"/>
      <w:bookmarkStart w:id="51" w:name="_Toc99318783"/>
      <w:bookmarkStart w:id="52" w:name="_Toc396864672"/>
      <w:bookmarkStart w:id="53" w:name="_Toc222380325"/>
      <w:r w:rsidRPr="00BF5E04">
        <w:t>Программа долгосрочных сбережений</w:t>
      </w:r>
      <w:bookmarkEnd w:id="48"/>
      <w:bookmarkEnd w:id="53"/>
    </w:p>
    <w:p w14:paraId="74867BAE" w14:textId="77777777" w:rsidR="00AD4EA0" w:rsidRPr="00BF5E04" w:rsidRDefault="00AD4EA0" w:rsidP="00AD4EA0">
      <w:pPr>
        <w:pStyle w:val="2"/>
      </w:pPr>
      <w:bookmarkStart w:id="54" w:name="ф4"/>
      <w:bookmarkStart w:id="55" w:name="_Toc222380326"/>
      <w:bookmarkEnd w:id="54"/>
      <w:r w:rsidRPr="00BF5E04">
        <w:t>РИА Финмаркет, 18.02.2026, Минфин РФ будет стимулировать НПФ предлагать разные стратегии в рамках ПДС</w:t>
      </w:r>
      <w:bookmarkEnd w:id="55"/>
    </w:p>
    <w:p w14:paraId="6643B779" w14:textId="77777777" w:rsidR="00AD4EA0" w:rsidRPr="00BF5E04" w:rsidRDefault="00AD4EA0" w:rsidP="001A12F0">
      <w:pPr>
        <w:pStyle w:val="3"/>
      </w:pPr>
      <w:bookmarkStart w:id="56" w:name="_Toc222380327"/>
      <w:r w:rsidRPr="00BF5E04">
        <w:t>Минфин РФ планирует стимулировать негосударственные пенсионные фонды (НПФ) предлагать гражданам разные стратегии инвестирования в рамках программы долгосрочных сбережений (ПДС), сообщил заместитель директора департамента финансовой политики министерства Павел Шахлевич.</w:t>
      </w:r>
      <w:bookmarkEnd w:id="56"/>
    </w:p>
    <w:p w14:paraId="4EE28123" w14:textId="18467D76" w:rsidR="00AD4EA0" w:rsidRPr="00BF5E04" w:rsidRDefault="00401C97" w:rsidP="00AD4EA0">
      <w:r>
        <w:t>«</w:t>
      </w:r>
      <w:r w:rsidR="00AD4EA0" w:rsidRPr="00BF5E04">
        <w:t>Также мы работаем с негосударственными пенсионным фондами в части программы долгосрочных сбережений, негосударственного пенсионного обеспечения по расширению стратегий, чтобы это была не одна стратегия, где покупаются только облигации и получается management fee и success fee, и ничего больше от сотрудников НПФ не требуется делать. Будем стимулировать их к расширению стратегий, в зависимости от возраста, наверно, в первую очередь. Чтобы люди более молодые могли принимать большие риски осознанно</w:t>
      </w:r>
      <w:r>
        <w:t>»</w:t>
      </w:r>
      <w:r w:rsidR="00AD4EA0" w:rsidRPr="00BF5E04">
        <w:t xml:space="preserve">, - сказал Шахлевич в ходе форума </w:t>
      </w:r>
      <w:r>
        <w:t>«</w:t>
      </w:r>
      <w:r w:rsidR="00AD4EA0" w:rsidRPr="00BF5E04">
        <w:t>Будущее рынка акций</w:t>
      </w:r>
      <w:r>
        <w:t>»</w:t>
      </w:r>
      <w:r w:rsidR="00AD4EA0" w:rsidRPr="00BF5E04">
        <w:t xml:space="preserve">, организованного </w:t>
      </w:r>
      <w:r>
        <w:t>«</w:t>
      </w:r>
      <w:r w:rsidR="00AD4EA0" w:rsidRPr="00BF5E04">
        <w:t>Эксперт РА</w:t>
      </w:r>
      <w:r>
        <w:t>»</w:t>
      </w:r>
      <w:r w:rsidR="00AD4EA0" w:rsidRPr="00BF5E04">
        <w:t>.</w:t>
      </w:r>
    </w:p>
    <w:p w14:paraId="6280EFEF" w14:textId="570E90A6" w:rsidR="00AD4EA0" w:rsidRPr="00BF5E04" w:rsidRDefault="00401C97" w:rsidP="00AD4EA0">
      <w:r>
        <w:t>«</w:t>
      </w:r>
      <w:r w:rsidR="00AD4EA0" w:rsidRPr="00BF5E04">
        <w:t>Пока (идет) добровольная дискуссия с фондами о том, чтобы предлагать гражданам больше стратегий в зависимости от возраста. Мы хотим, чтобы в зависимости от решения граждан, если они выбирают стратегию более рискованную, тогда НПФы формируют портфели с большим количеством акций</w:t>
      </w:r>
      <w:r>
        <w:t>»</w:t>
      </w:r>
      <w:r w:rsidR="00AD4EA0" w:rsidRPr="00BF5E04">
        <w:t>, - пояснил он позднее журналистам в кулуарах форума.</w:t>
      </w:r>
    </w:p>
    <w:p w14:paraId="078183F6" w14:textId="77777777" w:rsidR="00AD4EA0" w:rsidRPr="00BF5E04" w:rsidRDefault="00AD4EA0" w:rsidP="00AD4EA0">
      <w:r w:rsidRPr="00BF5E04">
        <w:t>Согласно данным Минфина, за два года действия программы привлечено более 717 млрд рублей, а число ее участников достигло 10,5 млн человек.</w:t>
      </w:r>
    </w:p>
    <w:p w14:paraId="0EB02992" w14:textId="77777777" w:rsidR="00AD4EA0" w:rsidRPr="00BF5E04" w:rsidRDefault="00AD4EA0" w:rsidP="00AD4EA0">
      <w:r w:rsidRPr="00BF5E04">
        <w:t>ПДС была запущена в 2024 году. Она предусматривает государственное софинансирование взносов на протяжении 10 лет в размере до 36 тыс. рублей в год, а также право на налоговый вычет. Средства граждан, внесенные в рамках программы, застрахованы на сумму 2,8 млн рублей.</w:t>
      </w:r>
    </w:p>
    <w:p w14:paraId="1737782B" w14:textId="77777777" w:rsidR="00AD4EA0" w:rsidRPr="00BF5E04" w:rsidRDefault="00AD4EA0" w:rsidP="00AD4EA0">
      <w:r w:rsidRPr="00BF5E04">
        <w:t>Директор департамента финансовой политики Минфина Алексей Яковлев в марте 2025 года говорил, что целевой показатель по объему привлеченных средств на 2025 год составляет 750 млрд рублей.</w:t>
      </w:r>
    </w:p>
    <w:p w14:paraId="4609D0F4" w14:textId="77777777" w:rsidR="00AD4EA0" w:rsidRPr="00BF5E04" w:rsidRDefault="00AD4EA0" w:rsidP="00AD4EA0">
      <w:r w:rsidRPr="00BF5E04">
        <w:t>Объем вложений в ПДС с учетом софинансирования и переводов пенсионных накоплений в 2024 году был равен 220 млрд рублей.</w:t>
      </w:r>
    </w:p>
    <w:p w14:paraId="01A1F77D" w14:textId="77777777" w:rsidR="00AD4EA0" w:rsidRPr="00BF5E04" w:rsidRDefault="00AD4EA0" w:rsidP="00AD4EA0">
      <w:r w:rsidRPr="00BF5E04">
        <w:t>Согласно поручению президента РФ Владимира Путина, целевой показатель по объему вложений граждан в рамках этой программы в 2026 году должен составить не менее 1% ВВП.</w:t>
      </w:r>
    </w:p>
    <w:p w14:paraId="7451A323" w14:textId="6845AC2A" w:rsidR="00AD4EA0" w:rsidRPr="00BF5E04" w:rsidRDefault="00AD4EA0" w:rsidP="00AD4EA0">
      <w:hyperlink r:id="rId15" w:history="1">
        <w:r w:rsidRPr="00BF5E04">
          <w:rPr>
            <w:rStyle w:val="a3"/>
          </w:rPr>
          <w:t>http://www.finmarket.ru/news/6563761</w:t>
        </w:r>
      </w:hyperlink>
      <w:r w:rsidRPr="00BF5E04">
        <w:t xml:space="preserve"> </w:t>
      </w:r>
    </w:p>
    <w:p w14:paraId="5917E537" w14:textId="77777777" w:rsidR="00A430AB" w:rsidRPr="00BF5E04" w:rsidRDefault="00A430AB" w:rsidP="00A430AB">
      <w:pPr>
        <w:pStyle w:val="2"/>
      </w:pPr>
      <w:bookmarkStart w:id="57" w:name="_Toc222380328"/>
      <w:r w:rsidRPr="00BF5E04">
        <w:lastRenderedPageBreak/>
        <w:t>РИА Новости, 18.02.2026, Минфин РФ работает с НПФ по расширению инвестстратегий программы долгосрочных сбережений</w:t>
      </w:r>
      <w:bookmarkEnd w:id="57"/>
    </w:p>
    <w:p w14:paraId="04C14F6B" w14:textId="77777777" w:rsidR="00A430AB" w:rsidRPr="00BF5E04" w:rsidRDefault="00A430AB" w:rsidP="001A12F0">
      <w:pPr>
        <w:pStyle w:val="3"/>
      </w:pPr>
      <w:bookmarkStart w:id="58" w:name="_Toc222380329"/>
      <w:r w:rsidRPr="00BF5E04">
        <w:t xml:space="preserve">Минфин России работает с негосударственными пенсионными фондами по расширению инвестиционных стратегий в рамках программы долгосрочных сбережений, заявил </w:t>
      </w:r>
      <w:bookmarkStart w:id="59" w:name="_Hlk222329988"/>
      <w:r w:rsidRPr="00BF5E04">
        <w:t>заместитель директора департамента финансовой политики Минфина России Павел Шахлевич</w:t>
      </w:r>
      <w:bookmarkEnd w:id="59"/>
      <w:r w:rsidRPr="00BF5E04">
        <w:t>.</w:t>
      </w:r>
      <w:bookmarkEnd w:id="58"/>
    </w:p>
    <w:p w14:paraId="07106696" w14:textId="6AA6759F" w:rsidR="00A430AB" w:rsidRPr="00BF5E04" w:rsidRDefault="00401C97" w:rsidP="00A430AB">
      <w:r>
        <w:t>«</w:t>
      </w:r>
      <w:r w:rsidR="00A430AB" w:rsidRPr="00BF5E04">
        <w:t>Также мы с негосударственными пенсионными фондами работаем в части программы долгосрочных сбережений, негосударственного пенсионного обеспечения по расширению стратегий, чтобы это была не одна стратегия, которая предлагается гражданам, где покупаются только облигации</w:t>
      </w:r>
      <w:r>
        <w:t>»</w:t>
      </w:r>
      <w:r w:rsidR="00A430AB" w:rsidRPr="00BF5E04">
        <w:t xml:space="preserve">, - сказал он, выступая на форуме </w:t>
      </w:r>
      <w:r>
        <w:t>«</w:t>
      </w:r>
      <w:r w:rsidR="00A430AB" w:rsidRPr="00BF5E04">
        <w:t>Эксперт РА</w:t>
      </w:r>
      <w:r>
        <w:t>»</w:t>
      </w:r>
      <w:r w:rsidR="00A430AB" w:rsidRPr="00BF5E04">
        <w:t xml:space="preserve"> </w:t>
      </w:r>
      <w:r>
        <w:t>«</w:t>
      </w:r>
      <w:r w:rsidR="00A430AB" w:rsidRPr="00BF5E04">
        <w:t>Будущее рынка акций</w:t>
      </w:r>
      <w:r>
        <w:t>»</w:t>
      </w:r>
      <w:r w:rsidR="00A430AB" w:rsidRPr="00BF5E04">
        <w:t>.</w:t>
      </w:r>
    </w:p>
    <w:p w14:paraId="1B3C2A23" w14:textId="654962CD" w:rsidR="00A430AB" w:rsidRPr="00BF5E04" w:rsidRDefault="00401C97" w:rsidP="00A430AB">
      <w:r>
        <w:t>«</w:t>
      </w:r>
      <w:r w:rsidR="00A430AB" w:rsidRPr="00BF5E04">
        <w:t>Здесь мы будем стимулировать их к расширению стратегий, в зависимости от возраста в первую очередь, чтобы люди более молодые могли принимать на себя больше риски осознанно, так как это больше рыночный продукт, а не пенсионный</w:t>
      </w:r>
      <w:r>
        <w:t>»</w:t>
      </w:r>
      <w:r w:rsidR="00A430AB" w:rsidRPr="00BF5E04">
        <w:t>, - добавил он.</w:t>
      </w:r>
    </w:p>
    <w:p w14:paraId="6E29498B" w14:textId="1BCE6F10" w:rsidR="00A430AB" w:rsidRPr="00BF5E04" w:rsidRDefault="00401C97" w:rsidP="00A430AB">
      <w:r>
        <w:t>«</w:t>
      </w:r>
      <w:r w:rsidR="00A430AB" w:rsidRPr="00BF5E04">
        <w:t>Пока добровольные дискуссии с фондами о том, чтобы предлагать гражданам больше стратегий в зависимости от возраста... Мы хотим, чтобы в зависимости от решений граждан, если они выбирают более рискованную стратегию, то тогда НПФ формируют портфели уже с большим количеством акций</w:t>
      </w:r>
      <w:r>
        <w:t>»</w:t>
      </w:r>
      <w:r w:rsidR="00A430AB" w:rsidRPr="00BF5E04">
        <w:t>, - сказал он журналистам в кулуарах форума.</w:t>
      </w:r>
    </w:p>
    <w:p w14:paraId="40F7489D" w14:textId="77777777" w:rsidR="00A430AB" w:rsidRPr="00BF5E04" w:rsidRDefault="00A430AB" w:rsidP="00A430AB">
      <w:r w:rsidRPr="00BF5E04">
        <w:t>По его словам, в настоящее время портфели ПДС в основном состоят из облигаций.</w:t>
      </w:r>
    </w:p>
    <w:p w14:paraId="69A99742" w14:textId="77777777" w:rsidR="00A430AB" w:rsidRPr="00BF5E04" w:rsidRDefault="00A430AB" w:rsidP="00A430AB">
      <w:r w:rsidRPr="00BF5E04">
        <w:t>ПДС - это сберегательный инструмент, который начал действовать в России с 1 января 2024 года.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w:t>
      </w:r>
    </w:p>
    <w:p w14:paraId="75CA024F" w14:textId="2A1CB238" w:rsidR="00111D7C" w:rsidRDefault="00A430AB" w:rsidP="00A430AB">
      <w:r w:rsidRPr="00BF5E04">
        <w:t>Также участники программы смогут получить софинансирование со стороны государства в размере до 36 тысяч рублей в год и перевести накопительную пенсию, ранее сформированную в рамках обязательного пенсионного страхования, в ПДС.</w:t>
      </w:r>
    </w:p>
    <w:p w14:paraId="61D499C1" w14:textId="487C9E4B" w:rsidR="00402D7C" w:rsidRPr="00402D7C" w:rsidRDefault="00402D7C" w:rsidP="00402D7C">
      <w:pPr>
        <w:pStyle w:val="2"/>
      </w:pPr>
      <w:bookmarkStart w:id="60" w:name="_Toc222380330"/>
      <w:r>
        <w:t>ТАСС</w:t>
      </w:r>
      <w:r w:rsidRPr="00402D7C">
        <w:t>, 19.02.2026</w:t>
      </w:r>
      <w:r w:rsidRPr="00616548">
        <w:t xml:space="preserve">, </w:t>
      </w:r>
      <w:r w:rsidRPr="00402D7C">
        <w:t>В ГД разъяснили изменения, касающиеся долгосрочных сбережений пенсионеров</w:t>
      </w:r>
      <w:bookmarkEnd w:id="60"/>
    </w:p>
    <w:p w14:paraId="5FC6959F" w14:textId="205CBB57" w:rsidR="00402D7C" w:rsidRDefault="00402D7C" w:rsidP="00402D7C">
      <w:pPr>
        <w:pStyle w:val="3"/>
      </w:pPr>
      <w:bookmarkStart w:id="61" w:name="_Toc222380331"/>
      <w:r>
        <w:t>Программа долгосрочных сбережений претерпит изменения - срок, по истечении которого можно будет снять деньги государственного софинансирования без потерь, будет увеличен с одного года до пяти лет. Это изменение особенно актуально для пенсионеров и предпенсионеров, разъяснил ТАСС зампредседателя комитета Госдумы по бюджету и налогам Каплан Панеш (фракция ЛДПР).</w:t>
      </w:r>
      <w:bookmarkEnd w:id="61"/>
    </w:p>
    <w:p w14:paraId="6066D305" w14:textId="77777777" w:rsidR="00402D7C" w:rsidRDefault="00402D7C" w:rsidP="00402D7C">
      <w:r>
        <w:t xml:space="preserve">"Министерство финансов предлагает внести изменения в программу долгосрочных сбережений, которые затронут, в первую очередь, людей пенсионного и предпенсионного возраста. Сейчас у граждан, которые достигли 55 лет для женщин и 60 лет для мужчин, есть право забрать все накопленные средства вместе с деньгами от государства в любой момент. На практике это привело к тому, что многие люди стали </w:t>
      </w:r>
      <w:r>
        <w:lastRenderedPageBreak/>
        <w:t>рассматривать программу не как инструмент накоплений на старость, а как обычный вклад с очень высокой доходностью - только в третьем квартале 2025 года участники программы вывели со своих счетов почти 18 млрд рублей", - рассказал он.</w:t>
      </w:r>
    </w:p>
    <w:p w14:paraId="63BA53FC" w14:textId="77777777" w:rsidR="00402D7C" w:rsidRDefault="00402D7C" w:rsidP="00402D7C">
      <w:r>
        <w:t>Люди вступали в программу, получали софинансирование от государства и сразу закрывали договор, забирая и свои взносы, и добавленные государством деньги, констатировал Панеш. "Чтобы исправить эту ситуацию, Минфин предлагает увеличить срок, по истечении которого можно снять деньги софинансирования без потерь, с одного года до пяти лет", - отметил он.</w:t>
      </w:r>
    </w:p>
    <w:p w14:paraId="50F81F2F" w14:textId="7E34DD55" w:rsidR="00402D7C" w:rsidRDefault="00402D7C" w:rsidP="00402D7C">
      <w:r>
        <w:t>Свои собственные взносы и инвестдоход можно будет забирать и раньше без ограничений, уточнил Панеш. "Сейчас эта законодательная инициатива находится на рассмотрении. Программа долгосрочных сбережений действует в России с 2024 года. Человек заключает договор с негосударственным пенсионным фондом и вносит деньги, государство добавляет к его взносам свои средства в течение 10 лет, но не больше 36 тыс. рублей в год. Плюс участник получает налоговый вычет. Накопления застрахованы на сумму до 2,8 млн рублей", - указал депутат.</w:t>
      </w:r>
    </w:p>
    <w:p w14:paraId="3F541152" w14:textId="77777777" w:rsidR="00402D7C" w:rsidRDefault="00402D7C" w:rsidP="00402D7C">
      <w:r>
        <w:t>По задумке, эти деньги должны работать долго, чтобы человек мог получать прибавку к пенсии или накопить на крупные цели, но когда выяснилось, что пенсионеры могут забирать все средства сразу, многие этим воспользовались, констатировал Панеш. "В результате государственные деньги, которые выделялись из бюджета для поддержки граждан, уходили на досрочные выплаты, а не работали на будущее. Речь не идет об ухудшении условий для людей - просто программа должна использоваться по назначению - для создания долгосрочных сбережений. Если человек хочет получить быстрый доход, для этого есть другие инструменты", - подчеркивает парламентарий.</w:t>
      </w:r>
    </w:p>
    <w:p w14:paraId="37F3AA8B" w14:textId="17293B93" w:rsidR="00402D7C" w:rsidRDefault="00402D7C" w:rsidP="00402D7C">
      <w:r>
        <w:t>Пять лет - разумный срок, который отделит тех, кто действительно готов копить, от тех, кто ищет способ быстро получить деньги от государства. При этом для досрочного снятия средств останутся особые жизненные ситуации - например, потеря кормильца или необходимость оплаты дорогостоящего лечения, сказал Панеш.</w:t>
      </w:r>
    </w:p>
    <w:p w14:paraId="262C8D76" w14:textId="53AB1912" w:rsidR="00402D7C" w:rsidRPr="00BF5E04" w:rsidRDefault="00402D7C" w:rsidP="00402D7C">
      <w:hyperlink r:id="rId16" w:history="1">
        <w:r w:rsidRPr="007C3F20">
          <w:rPr>
            <w:rStyle w:val="a3"/>
          </w:rPr>
          <w:t>https://tass.ru/ekonomika/26492971</w:t>
        </w:r>
      </w:hyperlink>
      <w:r>
        <w:t xml:space="preserve"> </w:t>
      </w:r>
    </w:p>
    <w:p w14:paraId="65CFD057" w14:textId="77777777" w:rsidR="00AD4EA0" w:rsidRPr="00BF5E04" w:rsidRDefault="00AD4EA0" w:rsidP="00AD4EA0">
      <w:pPr>
        <w:pStyle w:val="2"/>
      </w:pPr>
      <w:bookmarkStart w:id="62" w:name="ф5"/>
      <w:bookmarkStart w:id="63" w:name="_Toc222380332"/>
      <w:bookmarkEnd w:id="62"/>
      <w:r w:rsidRPr="00BF5E04">
        <w:t>ТАСС, 18.02.2026, Жители ЦФО держат на счетах по программе долгосрочных сбережений 175 млрд рублей</w:t>
      </w:r>
      <w:bookmarkEnd w:id="63"/>
    </w:p>
    <w:p w14:paraId="7078813B" w14:textId="77777777" w:rsidR="00AD4EA0" w:rsidRPr="00BF5E04" w:rsidRDefault="00AD4EA0" w:rsidP="001A12F0">
      <w:pPr>
        <w:pStyle w:val="3"/>
      </w:pPr>
      <w:bookmarkStart w:id="64" w:name="_Toc222380333"/>
      <w:r w:rsidRPr="00BF5E04">
        <w:t>Жители Центрального федерального округа (ЦФО) держат на счетах программы долгосрочных сбережений 175 млрд рублей, число участников программы по региону превысило 1,8 млн человек. Об этом сообщили ТАСС в пресс-службе ГУ Банка России по ЦФО.</w:t>
      </w:r>
      <w:bookmarkEnd w:id="64"/>
    </w:p>
    <w:p w14:paraId="5A02964A" w14:textId="591D73AA" w:rsidR="00AD4EA0" w:rsidRPr="00BF5E04" w:rsidRDefault="00401C97" w:rsidP="00AD4EA0">
      <w:r>
        <w:t>«</w:t>
      </w:r>
      <w:r w:rsidR="00AD4EA0" w:rsidRPr="00BF5E04">
        <w:t>В 2025 году число новых участников программы долгосрочных сбережений (ПДС) в Центральном федеральном округе превысило 1,8 млн человек. Это вдвое больше, чем в 2024 году, когда было заключено 774,7 тыс. договоров с негосударственными пенсионными фондами (НПФ). Всего жители Центральной России с начала действия программы открыли 2,6 млн счетов, за два года на них поступило 174,7 млрд рублей</w:t>
      </w:r>
      <w:r>
        <w:t>»</w:t>
      </w:r>
      <w:r w:rsidR="00AD4EA0" w:rsidRPr="00BF5E04">
        <w:t>, - сообщили в ГУ ЦБ.</w:t>
      </w:r>
    </w:p>
    <w:p w14:paraId="304C776A" w14:textId="77777777" w:rsidR="00AD4EA0" w:rsidRPr="00BF5E04" w:rsidRDefault="00AD4EA0" w:rsidP="00AD4EA0">
      <w:r w:rsidRPr="00BF5E04">
        <w:lastRenderedPageBreak/>
        <w:t>Больше половины средств внесли жители Москвы и Подмосковья, заключившие 1,2 млн договоров долгосрочных сбережений. К концу 2025 года на их счетах в программе скопилось 105 млрд рублей.</w:t>
      </w:r>
    </w:p>
    <w:p w14:paraId="008DF1E2" w14:textId="77777777" w:rsidR="00AD4EA0" w:rsidRPr="00BF5E04" w:rsidRDefault="00AD4EA0" w:rsidP="00AD4EA0">
      <w:r w:rsidRPr="00BF5E04">
        <w:t>По числу участников ПДС в регионе также лидируют Воронежская (160 тыс. счетов) и Белгородская области (143 тыс. счетов). На счета воронежцев за все время поступило 8,4 млрд рублей, белгородцев - 7,4 млрд рублей.</w:t>
      </w:r>
    </w:p>
    <w:p w14:paraId="60850C71" w14:textId="77777777" w:rsidR="00AD4EA0" w:rsidRPr="00BF5E04" w:rsidRDefault="00AD4EA0" w:rsidP="00AD4EA0">
      <w:r w:rsidRPr="00BF5E04">
        <w:t>Программа долгосрочных сбережений, которая действует с 1 января 2024 года, позволяет сформировать капитал для использования в будущем - после выхода на пенсию или в случае тяжелой жизненной ситуации. Личные взносы участников в НПФ в течение 10 лет софинансирует государство, максимальный объем господдержки составляет 36 000 рублей в год. Чтобы получить такую доплату, участнику с доходом до 80 тыс. рублей в месяц нужно внести 36 тыс. рублей в течение года, с доходом от 150 тыс. рублей - в 4 раза больше. На взносы также можно оформить налоговый вычет.</w:t>
      </w:r>
    </w:p>
    <w:p w14:paraId="6B3B44BC" w14:textId="77777777" w:rsidR="00AD4EA0" w:rsidRPr="00BF5E04" w:rsidRDefault="00AD4EA0" w:rsidP="00AD4EA0">
      <w:r w:rsidRPr="00BF5E04">
        <w:t>В программу разрешается переводить средства обязательного пенсионного страхования и материнский капитал, но государство не софинансирует эти вложения. Все деньги, которые лежат на счетах участников, инвестируются и приносят дополнительный доход. Накопления застрахованы государством на сумму 2,8 млн рублей.</w:t>
      </w:r>
    </w:p>
    <w:p w14:paraId="1F209945" w14:textId="691608E3" w:rsidR="00A430AB" w:rsidRPr="00BF5E04" w:rsidRDefault="00AD4EA0" w:rsidP="00AD4EA0">
      <w:hyperlink r:id="rId17" w:history="1">
        <w:r w:rsidRPr="00BF5E04">
          <w:rPr>
            <w:rStyle w:val="a3"/>
          </w:rPr>
          <w:t>https://tass.ru/ekonomika/26483655</w:t>
        </w:r>
      </w:hyperlink>
    </w:p>
    <w:p w14:paraId="6F86DAA1" w14:textId="532AC54B" w:rsidR="00B07189" w:rsidRPr="00BF5E04" w:rsidRDefault="00B07189" w:rsidP="00B07189">
      <w:pPr>
        <w:pStyle w:val="2"/>
      </w:pPr>
      <w:bookmarkStart w:id="65" w:name="_Toc222380334"/>
      <w:r w:rsidRPr="00BF5E04">
        <w:t>N</w:t>
      </w:r>
      <w:bookmarkStart w:id="66" w:name="ф6"/>
      <w:bookmarkEnd w:id="66"/>
      <w:r w:rsidRPr="00BF5E04">
        <w:t>EWS.ru, 18.02.2026, Депутат Бессараб: снять деньги по ПДС можно будет через несколько лет</w:t>
      </w:r>
      <w:bookmarkEnd w:id="65"/>
    </w:p>
    <w:p w14:paraId="237E36F8" w14:textId="77777777" w:rsidR="00B07189" w:rsidRPr="00BF5E04" w:rsidRDefault="00B07189" w:rsidP="001A12F0">
      <w:pPr>
        <w:pStyle w:val="3"/>
      </w:pPr>
      <w:bookmarkStart w:id="67" w:name="_Toc222380335"/>
      <w:r w:rsidRPr="00BF5E04">
        <w:t>Снять деньги по программе долгосрочных сбережений без потери инвестдоходов можно будет через несколько лет, рассказала ОТР член комитета Госдумы по труду, социальной политике и делам ветеранов Светлана Бессараб. Она отметила, что по такому принципу работают некоммерческие пенсионные фонды.</w:t>
      </w:r>
      <w:bookmarkEnd w:id="67"/>
    </w:p>
    <w:p w14:paraId="3C0F91E6" w14:textId="61FF792D" w:rsidR="00B07189" w:rsidRPr="00BF5E04" w:rsidRDefault="00401C97" w:rsidP="00B07189">
      <w:r>
        <w:t>«</w:t>
      </w:r>
      <w:r w:rsidR="00B07189" w:rsidRPr="00BF5E04">
        <w:t>Я могу предположить, что планируется аналогия права в негосударственном пенсионном фонде. Изменить условия или перевести деньги можно через пять лет. Ну, можно, в принципе, в любое время, но это с потерей инвестиционных доходов от вложения инвестиционного портфеля</w:t>
      </w:r>
      <w:r>
        <w:t>»</w:t>
      </w:r>
      <w:r w:rsidR="00B07189" w:rsidRPr="00BF5E04">
        <w:t>, - рассказала Бессараб.</w:t>
      </w:r>
    </w:p>
    <w:p w14:paraId="3C5CFB2C" w14:textId="77777777" w:rsidR="00B07189" w:rsidRPr="00BF5E04" w:rsidRDefault="00B07189" w:rsidP="00B07189">
      <w:r w:rsidRPr="00BF5E04">
        <w:t>Депутат подчеркнула, что сейчас максимальная сумма господдержки по ПДС составляет 360 тыс. рублей. По ее словам, максимальный размер софинансирования в год - 36 тыс. рублей.</w:t>
      </w:r>
    </w:p>
    <w:p w14:paraId="561C9FEC" w14:textId="77777777" w:rsidR="00B07189" w:rsidRPr="00BF5E04" w:rsidRDefault="00B07189" w:rsidP="00B07189">
      <w:r w:rsidRPr="00BF5E04">
        <w:t>Ранее замминистра финансов Иван Чебесков рассказал, что изменения в программе долгосрочных сбережений нужны лишь затем, чтобы участники ПДС использовали ее целевым образом. По его словам, многие российские пенсионеры стали использовать программу как срочный вклад - в третьем квартале 2025 года они вывели со своих счетов почти 18 млрд рублей после того, как получили софинансирование от государства.</w:t>
      </w:r>
    </w:p>
    <w:p w14:paraId="5FF2F2A8" w14:textId="3C459A7C" w:rsidR="00AD4EA0" w:rsidRDefault="00B07189" w:rsidP="00B07189">
      <w:hyperlink r:id="rId18" w:history="1">
        <w:r w:rsidRPr="00BF5E04">
          <w:rPr>
            <w:rStyle w:val="a3"/>
          </w:rPr>
          <w:t>https://news.ru/vlast/v-gosdume-obyasnili-kak-izmenyatsya-usloviya-snyatiya-sredstv-po-pds</w:t>
        </w:r>
      </w:hyperlink>
    </w:p>
    <w:p w14:paraId="1FD4A4C0" w14:textId="77777777" w:rsidR="001B4A31" w:rsidRDefault="001B4A31" w:rsidP="001B4A31">
      <w:pPr>
        <w:pStyle w:val="2"/>
      </w:pPr>
      <w:bookmarkStart w:id="68" w:name="ф7"/>
      <w:bookmarkStart w:id="69" w:name="_Toc222380336"/>
      <w:bookmarkEnd w:id="68"/>
      <w:r>
        <w:lastRenderedPageBreak/>
        <w:t>RT, 18.02.2026, Сиюминутная выгода: Минфин РФ скорректирует программу долгосрочных сбережений</w:t>
      </w:r>
      <w:bookmarkEnd w:id="69"/>
    </w:p>
    <w:p w14:paraId="3BC118FD" w14:textId="77777777" w:rsidR="001B4A31" w:rsidRDefault="001B4A31" w:rsidP="001A12F0">
      <w:pPr>
        <w:pStyle w:val="3"/>
      </w:pPr>
      <w:bookmarkStart w:id="70" w:name="_Toc222380337"/>
      <w:r>
        <w:t>В России с 2024 года действует программа долгосрочных сбережений, призванная помочь гражданам копить с господдержкой. Однако уже в 2026-м в её правила могут быть внесены коррективы. Всё дело в неожиданном поведении некоторых пенсионеров, которые из-за возникшего правового противоречия забирали деньги вскоре после получения софинансирования от государства. Какой объём средств был выведен в 2025 году и что именно хочет изменить Минфин — в материале RT.</w:t>
      </w:r>
      <w:bookmarkEnd w:id="70"/>
    </w:p>
    <w:p w14:paraId="68A0B23F" w14:textId="77777777" w:rsidR="001B4A31" w:rsidRDefault="001B4A31" w:rsidP="001B4A31">
      <w:r>
        <w:t>Кратко о ПДС и её целях</w:t>
      </w:r>
    </w:p>
    <w:p w14:paraId="77E2FDB7" w14:textId="77777777" w:rsidR="001B4A31" w:rsidRDefault="001B4A31" w:rsidP="001B4A31">
      <w:r>
        <w:t>Программа долгосрочных сбережений (ПДС) — это добровольный инструмент, который позволяет гражданам сформировать финансовую подушку на будущее или получать дополнительную прибавку к пенсии. Участвовать может любой россиянин старше 18 лет, заключив договор с негосударственным пенсионным фондом. Ключевые особенности ПДС — поддержка от государства в виде софинансирования взносов (до 36 тыс. рублей в год в течение десяти лет) и налоговый вычет (до 60 тыс. рублей ежегодно). Средства граждан на счетах ПДС застрахованы государством на сумму 2,8 млн рублей.</w:t>
      </w:r>
    </w:p>
    <w:p w14:paraId="5A2C45B9" w14:textId="77777777" w:rsidR="001B4A31" w:rsidRDefault="001B4A31" w:rsidP="001B4A31">
      <w:r>
        <w:t>По данным на февраль 2026 года, программа набрала популярность: количество заключённых договоров превысило 10,5 млн, а общий объём привлечённых средств достиг 717 млрд рублей. Воспользоваться накоплениями можно по истечении 15 лет действия договора или при достижении возраста 55 лет для женщин и 60 лет для мужчин, а также досрочно в случае потери кормильца или при необходимости оплаты дорогостоящего лечения.</w:t>
      </w:r>
    </w:p>
    <w:p w14:paraId="6F7BA7F1" w14:textId="77777777" w:rsidR="001B4A31" w:rsidRDefault="001B4A31" w:rsidP="001B4A31">
      <w:r>
        <w:t>Новые правила программы долгосрочных сбережений с 2026 года</w:t>
      </w:r>
    </w:p>
    <w:p w14:paraId="75E6AB4E" w14:textId="77777777" w:rsidR="001B4A31" w:rsidRDefault="001B4A31" w:rsidP="001B4A31">
      <w:r>
        <w:t>В 2026 году правила игры для участников ПДС могут существенно измениться. Министерство финансов РФ выступило с инициативой, направленной на корректировку программы. Причина — возникшее правовое противоречие, которое позволяло некоторым категориям граждан выводить средства вскоре после их получения от государства, что противоречит идее долгосрочности.</w:t>
      </w:r>
    </w:p>
    <w:p w14:paraId="2D46B8C3" w14:textId="77777777" w:rsidR="001B4A31" w:rsidRDefault="001B4A31" w:rsidP="001B4A31">
      <w:r>
        <w:t>Речь идёт о намерении властей увеличить минимальный срок, в течение которого нельзя снимать средства, полученные в рамках государственного софинансирования. Сейчас этот период составляет один год, его планируется увеличить до пяти лет. Заместитель министра финансов РФ Иван Чебесков пояснил, что цель программы — именно долгосрочные вложения, а возникшая практика нарушает этот принцип. В Минфине считают предлагаемый пятилетний срок оптимальным, чтобы изменить сложившуюся практику и достичь целей программы. Законопроект, который закрепит это правило, уже находится на стадии рассмотрения.</w:t>
      </w:r>
    </w:p>
    <w:p w14:paraId="0D2ADA33" w14:textId="77777777" w:rsidR="001B4A31" w:rsidRDefault="001B4A31" w:rsidP="001B4A31">
      <w:r>
        <w:t>Статистика по выводу средств из ПДС в 2025 году</w:t>
      </w:r>
    </w:p>
    <w:p w14:paraId="40018356" w14:textId="77777777" w:rsidR="001B4A31" w:rsidRDefault="001B4A31" w:rsidP="001B4A31">
      <w:r>
        <w:t xml:space="preserve">Инициатива Минфина стала ответом на статистику 2025 года: в III квартале, после того как участники ПДС получили первые выплаты от государства (софинансирование за 2024 год общим объёмом около 52 млрд рублей), был зафиксирован аномальный отток средств. Получателями господдержки в 2025 году стали около 2,6 млн вкладчиков. </w:t>
      </w:r>
    </w:p>
    <w:p w14:paraId="1518458C" w14:textId="77777777" w:rsidR="001B4A31" w:rsidRDefault="001B4A31" w:rsidP="001B4A31">
      <w:r>
        <w:lastRenderedPageBreak/>
        <w:t>Объём единовременных выплат из ПДС в этом периоде достиг почти 18 млрд рублей, увеличившись в десять раз по сравнению с II кварталом. Особенно выделилась Карелия, где жители забрали почти 300 млн рублей — более 20% от общего объёма взносов, сделанных в регионе.</w:t>
      </w:r>
    </w:p>
    <w:p w14:paraId="5F30D463" w14:textId="77777777" w:rsidR="001B4A31" w:rsidRDefault="001B4A31" w:rsidP="001B4A31">
      <w:r>
        <w:t>Граждане, преимущественно пенсионного и предпенсионного возраста, воспользовались своим правом забрать деньги досрочно, фактически используя ПДС как срочный вклад с быстрой фиксацией прибыли в виде господдержки. При этом многие из них, закрывая счёт, лишали себя права на получение софинансирования в будущем (а значит, и возможности удваивать свои вложения в течение последующих лет), зачастую даже не осознавая этого.</w:t>
      </w:r>
    </w:p>
    <w:p w14:paraId="6F50D392" w14:textId="77777777" w:rsidR="001B4A31" w:rsidRDefault="001B4A31" w:rsidP="001B4A31">
      <w:r>
        <w:t>Выгода ПДС для пенсионеров</w:t>
      </w:r>
    </w:p>
    <w:p w14:paraId="0AD180AD" w14:textId="77777777" w:rsidR="001B4A31" w:rsidRDefault="001B4A31" w:rsidP="001B4A31">
      <w:r>
        <w:t>Для людей пенсионного возраста ПДС действительно выглядит крайне выгодно. Главный магнит — софинансирование. Большинство пенсионеров попадают в категорию с ежемесячным доходом до 80 тыс. рублей, где государство удваивает взнос (схема 1:1). Вложив, например, 36 тыс. рублей за год, пенсионер получает такую же сумму от государства, что обеспечивает доходность в 100%.</w:t>
      </w:r>
    </w:p>
    <w:p w14:paraId="22423169" w14:textId="77777777" w:rsidR="001B4A31" w:rsidRDefault="001B4A31" w:rsidP="001B4A31">
      <w:r>
        <w:t>Однако поведение некоторых пенсионеров (стремление забрать деньги сразу) объяснимо с житейской точки зрения. Во-первых, сказывается недоверие к долгосрочным инструментам. Во-вторых, работает естественная возрастная психология: горизонт планирования у людей старше 60 лет объективно короче, чем у молодёжи. Рассчитывать на доход через 10—15 лет, когда возраст перешагнёт за 70—80 лет, готовы далеко не все: текущие потребности и желание распоряжаться средствами здесь и сейчас часто оказываются приоритетнее отложенной выгоды.</w:t>
      </w:r>
    </w:p>
    <w:p w14:paraId="5D635D13" w14:textId="4B47B951" w:rsidR="001B4A31" w:rsidRPr="00BF5E04" w:rsidRDefault="001B4A31" w:rsidP="001B4A31">
      <w:hyperlink r:id="rId19" w:history="1">
        <w:r w:rsidRPr="0084065F">
          <w:rPr>
            <w:rStyle w:val="a3"/>
          </w:rPr>
          <w:t>https://russian.rt.com/business/article/1596908-pds-dengi-izmeneniya</w:t>
        </w:r>
      </w:hyperlink>
      <w:r>
        <w:t xml:space="preserve"> </w:t>
      </w:r>
    </w:p>
    <w:p w14:paraId="4B08542C" w14:textId="77777777" w:rsidR="00982984" w:rsidRPr="00BF5E04" w:rsidRDefault="00982984" w:rsidP="00982984">
      <w:pPr>
        <w:pStyle w:val="2"/>
      </w:pPr>
      <w:bookmarkStart w:id="71" w:name="_Toc222380338"/>
      <w:r w:rsidRPr="00BF5E04">
        <w:t>Ваш Пенсионный Брокер, 18.02.2026, ФНС разъяснила, как получить вычет по долгосрочным сбережениям</w:t>
      </w:r>
      <w:bookmarkEnd w:id="71"/>
    </w:p>
    <w:p w14:paraId="1991FE85" w14:textId="77777777" w:rsidR="00982984" w:rsidRPr="00BF5E04" w:rsidRDefault="00982984" w:rsidP="001A12F0">
      <w:pPr>
        <w:pStyle w:val="3"/>
      </w:pPr>
      <w:bookmarkStart w:id="72" w:name="_Toc222380339"/>
      <w:r w:rsidRPr="00BF5E04">
        <w:t>Управление Федеральной налоговой службы по Республике Татарстан опубликовало разъяснения по применению обновленных правил получения налогового вычета по договорам долгосрочных сбережений, заключенным с негосударственными пенсионными фондами (НПФ).</w:t>
      </w:r>
      <w:bookmarkEnd w:id="72"/>
    </w:p>
    <w:p w14:paraId="10DDE253" w14:textId="77777777" w:rsidR="00982984" w:rsidRPr="00BF5E04" w:rsidRDefault="00982984" w:rsidP="00982984">
      <w:r w:rsidRPr="00BF5E04">
        <w:t>Главное изменение: срок вместо возраста</w:t>
      </w:r>
    </w:p>
    <w:p w14:paraId="2B4051DC" w14:textId="77777777" w:rsidR="00982984" w:rsidRPr="00BF5E04" w:rsidRDefault="00982984" w:rsidP="00982984">
      <w:r w:rsidRPr="00BF5E04">
        <w:t>Как сообщили в ведомстве, ключевым условием для получения вычета теперь выступает не возраст гражданина, а продолжительность действия договора. Это нововведение закреплено в статье 219.2 Налогового кодекса РФ.</w:t>
      </w:r>
    </w:p>
    <w:p w14:paraId="5D91383E" w14:textId="77777777" w:rsidR="00982984" w:rsidRPr="00BF5E04" w:rsidRDefault="00982984" w:rsidP="00982984">
      <w:r w:rsidRPr="00BF5E04">
        <w:t xml:space="preserve">Согласно письму ФНС от 19 декабря 2025 года, претендовать на возврат части уплаченного НДФЛ можно при соблюдении двух обязательных требований: </w:t>
      </w:r>
    </w:p>
    <w:p w14:paraId="27277BC4" w14:textId="77777777" w:rsidR="00982984" w:rsidRPr="00BF5E04" w:rsidRDefault="00982984" w:rsidP="00982984">
      <w:r w:rsidRPr="00BF5E04">
        <w:t>•</w:t>
      </w:r>
      <w:r w:rsidRPr="00BF5E04">
        <w:tab/>
        <w:t xml:space="preserve">с момента подписания договора до даты обращения за выплатами должно пройти не менее 10 лет. Для договоров, оформленных в 2024 году, действует переходный период - достаточно пяти лет; </w:t>
      </w:r>
    </w:p>
    <w:p w14:paraId="30C3CE7E" w14:textId="77777777" w:rsidR="00982984" w:rsidRPr="00BF5E04" w:rsidRDefault="00982984" w:rsidP="00982984">
      <w:r w:rsidRPr="00BF5E04">
        <w:lastRenderedPageBreak/>
        <w:t>•</w:t>
      </w:r>
      <w:r w:rsidRPr="00BF5E04">
        <w:tab/>
        <w:t xml:space="preserve">у гражданина не может быть одновременно открыто более двух действующих договоров долгосрочных сбережений в разных фондах (исключение составляют случаи перевода накоплений между НПФ). </w:t>
      </w:r>
    </w:p>
    <w:p w14:paraId="62D58BC4" w14:textId="77777777" w:rsidR="00982984" w:rsidRPr="00BF5E04" w:rsidRDefault="00982984" w:rsidP="00982984">
      <w:r w:rsidRPr="00BF5E04">
        <w:t>Возрастные ограничения сняты</w:t>
      </w:r>
    </w:p>
    <w:p w14:paraId="355FCFCC" w14:textId="77777777" w:rsidR="00982984" w:rsidRPr="00BF5E04" w:rsidRDefault="00982984" w:rsidP="00982984">
      <w:r w:rsidRPr="00BF5E04">
        <w:t>В налоговом управлении особо подчеркнули: возраст участника программы больше не влияет на право получения вычета.</w:t>
      </w:r>
    </w:p>
    <w:p w14:paraId="37B386AC" w14:textId="069DC7D5" w:rsidR="00982984" w:rsidRPr="00BF5E04" w:rsidRDefault="00401C97" w:rsidP="00982984">
      <w:r>
        <w:t>«</w:t>
      </w:r>
      <w:r w:rsidR="00982984" w:rsidRPr="00BF5E04">
        <w:t>Мужчина 60 лет имеет право на возврат налога, если его договор заключен в 2024 году, а он не будет обращаться за выплатами в течение пяти лет</w:t>
      </w:r>
      <w:r>
        <w:t>»</w:t>
      </w:r>
      <w:r w:rsidR="00982984" w:rsidRPr="00BF5E04">
        <w:t>, - пояснили в ФНС по Татарстану.</w:t>
      </w:r>
    </w:p>
    <w:p w14:paraId="7D424BD9" w14:textId="77777777" w:rsidR="00982984" w:rsidRPr="00BF5E04" w:rsidRDefault="00982984" w:rsidP="00982984">
      <w:r w:rsidRPr="00BF5E04">
        <w:t>Размер выплаты и на кого распространяется</w:t>
      </w:r>
    </w:p>
    <w:p w14:paraId="7364BC17" w14:textId="77777777" w:rsidR="00982984" w:rsidRPr="00BF5E04" w:rsidRDefault="00982984" w:rsidP="00982984">
      <w:r w:rsidRPr="00BF5E04">
        <w:t>Максимальная сумма взносов, с которой можно вернуть 13%, составляет 400 тысяч рублей в год. Таким образом, предельный размер ежегодного возврата может достигать 52 тысяч рублей.</w:t>
      </w:r>
    </w:p>
    <w:p w14:paraId="7A90ACB9" w14:textId="77777777" w:rsidR="00982984" w:rsidRPr="00BF5E04" w:rsidRDefault="00982984" w:rsidP="00982984">
      <w:r w:rsidRPr="00BF5E04">
        <w:t>Важно, что вычет распространяется не только на договоры, оформленные в пользу самого вкладчика, но и на соглашения, заключенные в пользу членов семьи - супруга, детей или родителей.</w:t>
      </w:r>
    </w:p>
    <w:p w14:paraId="1B3F247A" w14:textId="77777777" w:rsidR="00982984" w:rsidRPr="00BF5E04" w:rsidRDefault="00982984" w:rsidP="00982984">
      <w:r w:rsidRPr="00BF5E04">
        <w:t>Как оформить возврат</w:t>
      </w:r>
    </w:p>
    <w:p w14:paraId="60672C1E" w14:textId="77777777" w:rsidR="00982984" w:rsidRPr="00BF5E04" w:rsidRDefault="00982984" w:rsidP="00982984">
      <w:r w:rsidRPr="00BF5E04">
        <w:t xml:space="preserve">Налогоплательщики могут выбрать один из двух способов получения вычета: </w:t>
      </w:r>
    </w:p>
    <w:p w14:paraId="711465E5" w14:textId="77777777" w:rsidR="00982984" w:rsidRPr="00BF5E04" w:rsidRDefault="00982984" w:rsidP="00982984">
      <w:r w:rsidRPr="00BF5E04">
        <w:t>1.</w:t>
      </w:r>
      <w:r w:rsidRPr="00BF5E04">
        <w:tab/>
        <w:t xml:space="preserve">Подать декларацию 3-НДФЛ в налоговую инспекцию по окончании календарного года. </w:t>
      </w:r>
    </w:p>
    <w:p w14:paraId="3695EAB8" w14:textId="5F671FC0" w:rsidR="00982984" w:rsidRPr="00BF5E04" w:rsidRDefault="00982984" w:rsidP="00982984">
      <w:r w:rsidRPr="00BF5E04">
        <w:t>2.</w:t>
      </w:r>
      <w:r w:rsidRPr="00BF5E04">
        <w:tab/>
        <w:t xml:space="preserve">Воспользоваться упрощенным порядком через </w:t>
      </w:r>
      <w:r w:rsidR="00401C97">
        <w:t>«</w:t>
      </w:r>
      <w:r w:rsidRPr="00BF5E04">
        <w:t>Личный кабинет налогоплательщика</w:t>
      </w:r>
      <w:r w:rsidR="00401C97">
        <w:t>»</w:t>
      </w:r>
      <w:r w:rsidRPr="00BF5E04">
        <w:t xml:space="preserve">. Этот вариант доступен, если негосударственные пенсионные фонды своевременно передали необходимые сведения в налоговые органы. </w:t>
      </w:r>
    </w:p>
    <w:p w14:paraId="305A574E" w14:textId="602DE16F" w:rsidR="00982984" w:rsidRPr="00BF5E04" w:rsidRDefault="00982984" w:rsidP="00982984">
      <w:r w:rsidRPr="00BF5E04">
        <w:t xml:space="preserve">Детальная информация о порядке предоставления вычета размещена на официальном сайте ФНС России в разделе </w:t>
      </w:r>
      <w:r w:rsidR="00401C97">
        <w:t>«</w:t>
      </w:r>
      <w:r w:rsidRPr="00BF5E04">
        <w:t>Налоговые вычеты на долгосрочные сбережения граждан</w:t>
      </w:r>
      <w:r w:rsidR="00401C97">
        <w:t>»</w:t>
      </w:r>
      <w:r w:rsidRPr="00BF5E04">
        <w:t>.</w:t>
      </w:r>
    </w:p>
    <w:p w14:paraId="14D42999" w14:textId="77777777" w:rsidR="00982984" w:rsidRPr="00BF5E04" w:rsidRDefault="00982984" w:rsidP="00982984">
      <w:hyperlink r:id="rId20" w:history="1">
        <w:r w:rsidRPr="00BF5E04">
          <w:rPr>
            <w:rStyle w:val="a3"/>
          </w:rPr>
          <w:t>http://pbroker.ru/?p=81629</w:t>
        </w:r>
      </w:hyperlink>
      <w:r w:rsidRPr="00BF5E04">
        <w:t xml:space="preserve"> </w:t>
      </w:r>
    </w:p>
    <w:p w14:paraId="4921D95B" w14:textId="77777777" w:rsidR="00982984" w:rsidRPr="00BF5E04" w:rsidRDefault="00982984" w:rsidP="00982984">
      <w:pPr>
        <w:pStyle w:val="2"/>
      </w:pPr>
      <w:bookmarkStart w:id="73" w:name="_Toc222380340"/>
      <w:r w:rsidRPr="00BF5E04">
        <w:t>Ваш Пенсионный Брокер, 18.02.2026, Как получить до 36 тысяч рублей ежегодно от государства?</w:t>
      </w:r>
      <w:bookmarkEnd w:id="73"/>
    </w:p>
    <w:p w14:paraId="329C4D54" w14:textId="77777777" w:rsidR="00982984" w:rsidRPr="00BF5E04" w:rsidRDefault="00982984" w:rsidP="001A12F0">
      <w:pPr>
        <w:pStyle w:val="3"/>
      </w:pPr>
      <w:bookmarkStart w:id="74" w:name="_Toc222380341"/>
      <w:r w:rsidRPr="00BF5E04">
        <w:t>Программа долгосрочных сбережений представляет собой добровольную накопительную систему, предназначенную для всех желающих обеспечить себе финансовую стабильность в будущем. Участники ПДС получают дополнительные выплаты от государства, формируя собственный капитал на случай сложных жизненных ситуаций либо создавая запас для дополнительного дохода в старости.</w:t>
      </w:r>
      <w:bookmarkEnd w:id="74"/>
    </w:p>
    <w:p w14:paraId="314F5E1E" w14:textId="03B48431" w:rsidR="00982984" w:rsidRPr="00BF5E04" w:rsidRDefault="00982984" w:rsidP="00982984">
      <w:r w:rsidRPr="00BF5E04">
        <w:t xml:space="preserve">Управляющий Банком России по Башкортостану Марат Кашапов подчеркнул: </w:t>
      </w:r>
      <w:r w:rsidR="00401C97">
        <w:t>«</w:t>
      </w:r>
      <w:r w:rsidRPr="00BF5E04">
        <w:t>Это уникальная возможность накапливать средства совместно с государством</w:t>
      </w:r>
      <w:r w:rsidR="00401C97">
        <w:t>»</w:t>
      </w:r>
      <w:r w:rsidRPr="00BF5E04">
        <w:t>.</w:t>
      </w:r>
    </w:p>
    <w:p w14:paraId="4CDA6D21" w14:textId="77777777" w:rsidR="00982984" w:rsidRPr="00BF5E04" w:rsidRDefault="00982984" w:rsidP="00982984">
      <w:r w:rsidRPr="00BF5E04">
        <w:t>Основные условия участия</w:t>
      </w:r>
    </w:p>
    <w:p w14:paraId="729968B9" w14:textId="77777777" w:rsidR="00982984" w:rsidRPr="00BF5E04" w:rsidRDefault="00982984" w:rsidP="00982984">
      <w:r w:rsidRPr="00BF5E04">
        <w:lastRenderedPageBreak/>
        <w:t xml:space="preserve">Чтобы воспользоваться преимуществами программы, граждане должны заключить специальный договор с выбранным негосударственным пенсионным фондом (НПФ). Заключение договора возможно несколькими способами: </w:t>
      </w:r>
    </w:p>
    <w:p w14:paraId="025363F7" w14:textId="77777777" w:rsidR="00982984" w:rsidRPr="00BF5E04" w:rsidRDefault="00982984" w:rsidP="00982984">
      <w:r w:rsidRPr="00BF5E04">
        <w:t>•</w:t>
      </w:r>
      <w:r w:rsidRPr="00BF5E04">
        <w:tab/>
        <w:t xml:space="preserve">Через сайт выбранного фонда, </w:t>
      </w:r>
    </w:p>
    <w:p w14:paraId="542EBDCA" w14:textId="77777777" w:rsidR="00982984" w:rsidRPr="00BF5E04" w:rsidRDefault="00982984" w:rsidP="00982984">
      <w:r w:rsidRPr="00BF5E04">
        <w:t>•</w:t>
      </w:r>
      <w:r w:rsidRPr="00BF5E04">
        <w:tab/>
        <w:t xml:space="preserve">В отделении фонда лично, </w:t>
      </w:r>
    </w:p>
    <w:p w14:paraId="2033DE08" w14:textId="1B73FDB4" w:rsidR="00982984" w:rsidRPr="00BF5E04" w:rsidRDefault="00982984" w:rsidP="00982984">
      <w:r w:rsidRPr="00BF5E04">
        <w:t>•</w:t>
      </w:r>
      <w:r w:rsidRPr="00BF5E04">
        <w:tab/>
        <w:t>Или онлайн через портал государственных услуг (</w:t>
      </w:r>
      <w:r w:rsidR="00401C97">
        <w:t>«</w:t>
      </w:r>
      <w:r w:rsidRPr="00BF5E04">
        <w:t>Госуслуги</w:t>
      </w:r>
      <w:r w:rsidR="00401C97">
        <w:t>»</w:t>
      </w:r>
      <w:r w:rsidRPr="00BF5E04">
        <w:t xml:space="preserve">). </w:t>
      </w:r>
    </w:p>
    <w:p w14:paraId="00D995C1" w14:textId="77777777" w:rsidR="00982984" w:rsidRPr="00BF5E04" w:rsidRDefault="00982984" w:rsidP="00982984">
      <w:r w:rsidRPr="00BF5E04">
        <w:t>Затем участник начинает регулярно вносить денежные средства на личный счёт, минимальная сумма ежегодного пополнения составляет всего лишь 2 тысячи рублей. Дополнительно государство перечисляет собственные взносы, увеличивая размер вашего капитала.</w:t>
      </w:r>
    </w:p>
    <w:p w14:paraId="3652AD1C" w14:textId="77777777" w:rsidR="00982984" w:rsidRPr="00BF5E04" w:rsidRDefault="00982984" w:rsidP="00982984">
      <w:r w:rsidRPr="00BF5E04">
        <w:t>Кроме того, существует возможность перевода ранее сформированных пенсионных накоплений, предназначенных для будущей государственной пенсии, непосредственно в рамках Программы долгосрочных сбережений.</w:t>
      </w:r>
    </w:p>
    <w:p w14:paraId="1CC7D428" w14:textId="77777777" w:rsidR="00982984" w:rsidRPr="00BF5E04" w:rsidRDefault="00982984" w:rsidP="00982984">
      <w:r w:rsidRPr="00BF5E04">
        <w:t>Когда становятся доступны собранные средства?</w:t>
      </w:r>
    </w:p>
    <w:p w14:paraId="3922BE53" w14:textId="77777777" w:rsidR="00982984" w:rsidRPr="00BF5E04" w:rsidRDefault="00982984" w:rsidP="00982984">
      <w:r w:rsidRPr="00BF5E04">
        <w:t xml:space="preserve">Средства, размещённые на счёте участника программы, будут доступны спустя минимум 15 лет после заключения договора или при наступлении пенсионного возраста (для женщин - 55 лет, для мужчин - 60 лет). Однако предусмотрены исключения, позволяющие досрочно снимать средства в экстренных ситуациях: </w:t>
      </w:r>
    </w:p>
    <w:p w14:paraId="04EC4E0C" w14:textId="77777777" w:rsidR="00982984" w:rsidRPr="00BF5E04" w:rsidRDefault="00982984" w:rsidP="00982984">
      <w:r w:rsidRPr="00BF5E04">
        <w:t>•</w:t>
      </w:r>
      <w:r w:rsidRPr="00BF5E04">
        <w:tab/>
        <w:t xml:space="preserve">Необходимость оплаты дорогостоящего лечения, </w:t>
      </w:r>
    </w:p>
    <w:p w14:paraId="787AD84E" w14:textId="77777777" w:rsidR="00982984" w:rsidRPr="00BF5E04" w:rsidRDefault="00982984" w:rsidP="00982984">
      <w:r w:rsidRPr="00BF5E04">
        <w:t>•</w:t>
      </w:r>
      <w:r w:rsidRPr="00BF5E04">
        <w:tab/>
        <w:t xml:space="preserve">Потеря основного кормильца семьи. </w:t>
      </w:r>
    </w:p>
    <w:p w14:paraId="1BC92026" w14:textId="77777777" w:rsidR="00982984" w:rsidRPr="00BF5E04" w:rsidRDefault="00982984" w:rsidP="00982984">
      <w:r w:rsidRPr="00BF5E04">
        <w:t>Во всех остальных случаях досрочное снятие денег возможно, однако без начисленных государством выплат и инвестиционного дохода.</w:t>
      </w:r>
    </w:p>
    <w:p w14:paraId="0DE3165E" w14:textId="77777777" w:rsidR="00982984" w:rsidRPr="00BF5E04" w:rsidRDefault="00982984" w:rsidP="00982984">
      <w:r w:rsidRPr="00BF5E04">
        <w:t>Гарантии сохранности денежных средств</w:t>
      </w:r>
    </w:p>
    <w:p w14:paraId="5BDDCF57" w14:textId="77777777" w:rsidR="00982984" w:rsidRPr="00BF5E04" w:rsidRDefault="00982984" w:rsidP="00982984">
      <w:r w:rsidRPr="00BF5E04">
        <w:t>Важно отметить, что средства участников программы долгосрочных сбережений защищены системой страхования вкладов, гарантирующей сохранность вложенных сумм даже в случае неблагоприятных обстоятельств.</w:t>
      </w:r>
    </w:p>
    <w:p w14:paraId="67682979" w14:textId="77777777" w:rsidR="00982984" w:rsidRPr="00BF5E04" w:rsidRDefault="00982984" w:rsidP="00982984">
      <w:r w:rsidRPr="00BF5E04">
        <w:t>Таким образом, участие в Программе долгосрочных сбережений является отличным способом повысить свою финансовую безопасность и создать стабильный источник дополнительного дохода в будущем.</w:t>
      </w:r>
    </w:p>
    <w:p w14:paraId="3C09C10D" w14:textId="44E08935" w:rsidR="00B07189" w:rsidRPr="00BF5E04" w:rsidRDefault="00982984" w:rsidP="00982984">
      <w:hyperlink r:id="rId21" w:history="1">
        <w:r w:rsidRPr="00BF5E04">
          <w:rPr>
            <w:rStyle w:val="a3"/>
          </w:rPr>
          <w:t>http://pbroker.ru/?p=81634</w:t>
        </w:r>
      </w:hyperlink>
    </w:p>
    <w:p w14:paraId="617811AA" w14:textId="77777777" w:rsidR="003A0D24" w:rsidRPr="00BF5E04" w:rsidRDefault="003A0D24" w:rsidP="003A0D24">
      <w:pPr>
        <w:pStyle w:val="2"/>
      </w:pPr>
      <w:bookmarkStart w:id="75" w:name="_Toc222380342"/>
      <w:r w:rsidRPr="00BF5E04">
        <w:lastRenderedPageBreak/>
        <w:t>Конкурент, 18.02.2026, Дожились. Пенсионеров могут лишить доступа к накоплениям</w:t>
      </w:r>
      <w:bookmarkEnd w:id="75"/>
    </w:p>
    <w:p w14:paraId="564A8D09" w14:textId="77777777" w:rsidR="003A0D24" w:rsidRPr="00BF5E04" w:rsidRDefault="003A0D24" w:rsidP="001A12F0">
      <w:pPr>
        <w:pStyle w:val="3"/>
      </w:pPr>
      <w:bookmarkStart w:id="76" w:name="_Toc222380343"/>
      <w:r w:rsidRPr="00BF5E04">
        <w:t>Министерство финансов РФ выступило с инициативой ограничить возможность немедленного вывода средств, полученных в рамках государственной программы софинансирования долгосрочных сбережений (ПДС). Ведомство также рассматривает увеличение срока, в течение которого эти деньги будут недоступны.</w:t>
      </w:r>
      <w:bookmarkEnd w:id="76"/>
    </w:p>
    <w:p w14:paraId="051169CA" w14:textId="77777777" w:rsidR="003A0D24" w:rsidRPr="00BF5E04" w:rsidRDefault="003A0D24" w:rsidP="003A0D24">
      <w:r w:rsidRPr="00BF5E04">
        <w:t>Такая корректировка стала необходимой после того, как в третьем квартале прошлого года пенсионеры, получив годовое софинансирование от государства, вывели со своих счетов ПДС значительную сумму – около 18 млрд руб.</w:t>
      </w:r>
    </w:p>
    <w:p w14:paraId="081423DB" w14:textId="77777777" w:rsidR="003A0D24" w:rsidRPr="00BF5E04" w:rsidRDefault="003A0D24" w:rsidP="003A0D24">
      <w:r w:rsidRPr="00BF5E04">
        <w:t>Несмотря на то, что договоры ПДС заключаются на длительный срок, в 15 лет, для женщин старше 55 лет и мужчин старше 60 лет предусмотрена возможность досрочного вывода средств без потери начисленных процентов. Это привело к тому, что программа фактически использовалась как краткосрочный финансовый инструмент.</w:t>
      </w:r>
    </w:p>
    <w:p w14:paraId="07B04840" w14:textId="77777777" w:rsidR="003A0D24" w:rsidRPr="00BF5E04" w:rsidRDefault="003A0D24" w:rsidP="003A0D24">
      <w:r w:rsidRPr="00BF5E04">
        <w:t>Участники с ежемесячным доходом до 80 тыс. руб. имели возможность за год удвоить свои вложения благодаря государственному софинансированию, получая при этом доходность, значительно превышающую банковские ставки.</w:t>
      </w:r>
    </w:p>
    <w:p w14:paraId="01D2E40F" w14:textId="7562AA36" w:rsidR="003A0D24" w:rsidRPr="00BF5E04" w:rsidRDefault="003A0D24" w:rsidP="003A0D24">
      <w:hyperlink r:id="rId22" w:history="1">
        <w:r w:rsidRPr="00BF5E04">
          <w:rPr>
            <w:rStyle w:val="a3"/>
          </w:rPr>
          <w:t>https://konkurent.ru/article/84742</w:t>
        </w:r>
      </w:hyperlink>
      <w:r w:rsidRPr="00BF5E04">
        <w:t xml:space="preserve"> </w:t>
      </w:r>
    </w:p>
    <w:p w14:paraId="589C83FB" w14:textId="77777777" w:rsidR="00847E2B" w:rsidRPr="00BF5E04" w:rsidRDefault="00847E2B" w:rsidP="00847E2B">
      <w:pPr>
        <w:pStyle w:val="2"/>
      </w:pPr>
      <w:bookmarkStart w:id="77" w:name="_Toc222380344"/>
      <w:r w:rsidRPr="00BF5E04">
        <w:t>ГТРК Чувашия, 18.02.2026, Каждый 8 житель Чувашии участвует в Программе долгосрочных сбережений</w:t>
      </w:r>
      <w:bookmarkEnd w:id="77"/>
    </w:p>
    <w:p w14:paraId="07800FE6" w14:textId="77777777" w:rsidR="00847E2B" w:rsidRPr="00BF5E04" w:rsidRDefault="00847E2B" w:rsidP="001A12F0">
      <w:pPr>
        <w:pStyle w:val="3"/>
      </w:pPr>
      <w:bookmarkStart w:id="78" w:name="_Toc222380345"/>
      <w:r w:rsidRPr="00BF5E04">
        <w:t>За два года реализации Программы долгосрочных сбережений жители Чувашии заключили почти 142 тысячи договоров на общую сумму свыше 6,9 млрд рублей. О своем финансовом благополучии в будущем позаботился каждый восьмой житель нашей республики — это самый высокий показатель в ПФО.</w:t>
      </w:r>
      <w:bookmarkEnd w:id="78"/>
    </w:p>
    <w:p w14:paraId="56EEAA9E" w14:textId="38120899" w:rsidR="00847E2B" w:rsidRPr="00BF5E04" w:rsidRDefault="00847E2B" w:rsidP="00847E2B">
      <w:r w:rsidRPr="00BF5E04">
        <w:t>— В чем же преимущества ПДС? Деньги вкладываются добровольно: каждый сам решает, как часто и какую сумму вносить. Копить можно не только для себя, но и для своего ребенка или другого близкого человека. Государство софинансирует все вложения в течение 10 лет, страхует их на сумму до 2,8 млн рублей, гарантирует наследование и разрешает досрочно снимать средства в сложных жизненных ситуациях, — рассказали в Минфине.</w:t>
      </w:r>
    </w:p>
    <w:p w14:paraId="1D1454DB" w14:textId="1547824E" w:rsidR="00847E2B" w:rsidRPr="00BF5E04" w:rsidRDefault="00847E2B" w:rsidP="00847E2B">
      <w:r w:rsidRPr="00BF5E04">
        <w:t xml:space="preserve">Важно, что в рамках нацпроекта </w:t>
      </w:r>
      <w:r w:rsidR="00401C97">
        <w:t>«</w:t>
      </w:r>
      <w:r w:rsidRPr="00BF5E04">
        <w:t>Эффективная и конкурентная экономика</w:t>
      </w:r>
      <w:r w:rsidR="00401C97">
        <w:t>»</w:t>
      </w:r>
      <w:r w:rsidRPr="00BF5E04">
        <w:t xml:space="preserve"> Программа долгосрочных сбережений постоянно совершенствуется.</w:t>
      </w:r>
    </w:p>
    <w:p w14:paraId="300806CA" w14:textId="367786AC" w:rsidR="00847E2B" w:rsidRPr="00BF5E04" w:rsidRDefault="00847E2B" w:rsidP="00847E2B">
      <w:r w:rsidRPr="00BF5E04">
        <w:t xml:space="preserve">С 1 октября 2025 года заключить соответствующий договор можно не выходя из дома — через портал </w:t>
      </w:r>
      <w:r w:rsidR="00401C97">
        <w:t>«</w:t>
      </w:r>
      <w:r w:rsidRPr="00BF5E04">
        <w:t>Госуслуги</w:t>
      </w:r>
      <w:r w:rsidR="00401C97">
        <w:t>»</w:t>
      </w:r>
      <w:r w:rsidRPr="00BF5E04">
        <w:t>.</w:t>
      </w:r>
    </w:p>
    <w:p w14:paraId="3EF933D2" w14:textId="77777777" w:rsidR="00847E2B" w:rsidRPr="00BF5E04" w:rsidRDefault="00847E2B" w:rsidP="00847E2B">
      <w:r w:rsidRPr="00BF5E04">
        <w:t>А с 1 января 2026 года перечислять взносы за своих сотрудников также могут работодатели.</w:t>
      </w:r>
    </w:p>
    <w:p w14:paraId="5FA98C1C" w14:textId="4F6F2A7C" w:rsidR="00847E2B" w:rsidRPr="00BF5E04" w:rsidRDefault="00847E2B" w:rsidP="00847E2B">
      <w:hyperlink r:id="rId23" w:history="1">
        <w:r w:rsidRPr="00BF5E04">
          <w:rPr>
            <w:rStyle w:val="a3"/>
          </w:rPr>
          <w:t>https://chgtrk.ru/novosti/finansy/kajdyy-8-jitel-chuvashii-uchastvuet-v-programme-dolgosrochnyh-sberejeniy/</w:t>
        </w:r>
      </w:hyperlink>
      <w:r w:rsidRPr="00BF5E04">
        <w:t xml:space="preserve"> </w:t>
      </w:r>
    </w:p>
    <w:p w14:paraId="6B5E963B" w14:textId="77777777" w:rsidR="004B7883" w:rsidRPr="00BF5E04" w:rsidRDefault="004B7883" w:rsidP="004B7883">
      <w:pPr>
        <w:pStyle w:val="2"/>
      </w:pPr>
      <w:bookmarkStart w:id="79" w:name="_Toc222380346"/>
      <w:r w:rsidRPr="00BF5E04">
        <w:lastRenderedPageBreak/>
        <w:t>КП - Херсонщина, 18.02.2026, Сберечь и приумножить: Жители Херсонщины вложили в свое будущее 44 млн рублей</w:t>
      </w:r>
      <w:bookmarkEnd w:id="79"/>
    </w:p>
    <w:p w14:paraId="26B65723" w14:textId="77777777" w:rsidR="004B7883" w:rsidRPr="00BF5E04" w:rsidRDefault="004B7883" w:rsidP="001A12F0">
      <w:pPr>
        <w:pStyle w:val="3"/>
      </w:pPr>
      <w:bookmarkStart w:id="80" w:name="_Toc222380347"/>
      <w:r w:rsidRPr="00BF5E04">
        <w:t>Интерес жителей Херсонской области к возможности накопить добавку к пенсии вырос в четыре раза. И это всего за один год! Такие данные обнародовал Банк России. Средняя сумма взносов по договорам программы долгосрочных сбережений составила 33 тысячи рублей, а совокупный объем накоплений достиг 44 миллионов рублей. Всего в Херсонской области в прошлом году было заключено 1,3 тысячи таких договоров.</w:t>
      </w:r>
      <w:bookmarkEnd w:id="80"/>
    </w:p>
    <w:p w14:paraId="3C399D60" w14:textId="394268F9" w:rsidR="004B7883" w:rsidRPr="00BF5E04" w:rsidRDefault="004B7883" w:rsidP="004B7883">
      <w:r w:rsidRPr="00BF5E04">
        <w:t xml:space="preserve">Востребованность этого инструмента накопления объясняется просто — предусмотрена </w:t>
      </w:r>
      <w:r w:rsidR="00401C97">
        <w:t>«</w:t>
      </w:r>
      <w:r w:rsidRPr="00BF5E04">
        <w:t>добавка</w:t>
      </w:r>
      <w:r w:rsidR="00401C97">
        <w:t>»</w:t>
      </w:r>
      <w:r w:rsidRPr="00BF5E04">
        <w:t xml:space="preserve"> от государства. К примеру, 35-летний глава семьи из Скадовска, зарабатывающий до 80 тысяч рублей, вложил в программу в течение года 20 тысяч рублей. Именно такая же сумма поступит и от государства. Но если его доход повысится — будет ниже сумма прибавки. При зарплате от 80 до 150 тысяч рублей она составит половину оплаченных взносов, а свыше — уже четверть. Максимальная сумма государственной поддержки в год — 36 тысяч рублей.</w:t>
      </w:r>
    </w:p>
    <w:p w14:paraId="0957468B" w14:textId="3F6170B7" w:rsidR="004B7883" w:rsidRPr="00BF5E04" w:rsidRDefault="00401C97" w:rsidP="004B7883">
      <w:r>
        <w:t>«</w:t>
      </w:r>
      <w:r w:rsidR="004B7883" w:rsidRPr="00BF5E04">
        <w:t xml:space="preserve">Чтобы вступить в программу и начать формировать сбережения, нужно заключить договор с одним из негосударственных пенсионных фондов (НПФ), — рассказал </w:t>
      </w:r>
      <w:r>
        <w:t>«</w:t>
      </w:r>
      <w:r w:rsidR="004B7883" w:rsidRPr="00BF5E04">
        <w:t>КП</w:t>
      </w:r>
      <w:r>
        <w:t>»</w:t>
      </w:r>
      <w:r w:rsidR="004B7883" w:rsidRPr="00BF5E04">
        <w:t xml:space="preserve"> Иван Дудий, управляющий Отделением Херсон Южного ГУ Банка России. — Затем самостоятельно вносить суммы на свой счет. Фонд, чтобы приумножить деньги и сберечь от инфляции, будет инвестировать средства. Кроме того, участник программы имеет право на налоговый вычет и может вернуть часть уплаченного за год подоходного налога.</w:t>
      </w:r>
    </w:p>
    <w:p w14:paraId="7439EDBA" w14:textId="77777777" w:rsidR="004B7883" w:rsidRPr="00BF5E04" w:rsidRDefault="004B7883" w:rsidP="004B7883">
      <w:r w:rsidRPr="00BF5E04">
        <w:t>Получать ежемесячные выплаты по программе можно будет через 15 лет после заключения договора или по достижении 55 лет для женщин и 60 лет для мужчин. Предусмотрена возможность досрочного снятия средств в случае тяжелой болезни, требующей лечения, или потери кормильца.</w:t>
      </w:r>
    </w:p>
    <w:p w14:paraId="6D61F15A" w14:textId="77777777" w:rsidR="004B7883" w:rsidRPr="00BF5E04" w:rsidRDefault="004B7883" w:rsidP="004B7883">
      <w:r w:rsidRPr="00BF5E04">
        <w:t>КСТАТИ</w:t>
      </w:r>
    </w:p>
    <w:p w14:paraId="61750267" w14:textId="77777777" w:rsidR="004B7883" w:rsidRPr="00BF5E04" w:rsidRDefault="004B7883" w:rsidP="004B7883">
      <w:r w:rsidRPr="00BF5E04">
        <w:t>Три ответа на самые распространенные вопросы о программе долгосрочных сбережений</w:t>
      </w:r>
    </w:p>
    <w:p w14:paraId="60EA1B3B" w14:textId="77777777" w:rsidR="004B7883" w:rsidRPr="00BF5E04" w:rsidRDefault="004B7883" w:rsidP="004B7883">
      <w:r w:rsidRPr="00BF5E04">
        <w:t>— С какой суммы можно начать инвестировать? Как часто надо пополнять счет?</w:t>
      </w:r>
    </w:p>
    <w:p w14:paraId="1023A344" w14:textId="77777777" w:rsidR="004B7883" w:rsidRPr="00BF5E04" w:rsidRDefault="004B7883" w:rsidP="004B7883">
      <w:r w:rsidRPr="00BF5E04">
        <w:t>— Требований к размеру и периодичности взносов нет. Участник программы сам решает, когда и в каком объеме пополнять свой счет. Но чтобы получить софинансирование от государства, сумма взносов за календарный год должна быть не менее двух тысяч рублей.</w:t>
      </w:r>
    </w:p>
    <w:p w14:paraId="423B32B5" w14:textId="77777777" w:rsidR="004B7883" w:rsidRPr="00BF5E04" w:rsidRDefault="004B7883" w:rsidP="004B7883">
      <w:r w:rsidRPr="00BF5E04">
        <w:t>— Как можно отслеживать состояние своего счета долгосрочных сбережений?</w:t>
      </w:r>
    </w:p>
    <w:p w14:paraId="74151CC6" w14:textId="77777777" w:rsidR="004B7883" w:rsidRPr="00BF5E04" w:rsidRDefault="004B7883" w:rsidP="004B7883">
      <w:r w:rsidRPr="00BF5E04">
        <w:t>— Информацию о состоянии счета по программе негосударственный пенсионный фонд предоставляет гражданину по его требованию или через его личный кабинет (при его наличии).</w:t>
      </w:r>
    </w:p>
    <w:p w14:paraId="68FDBBA8" w14:textId="77777777" w:rsidR="004B7883" w:rsidRPr="00BF5E04" w:rsidRDefault="004B7883" w:rsidP="004B7883">
      <w:r w:rsidRPr="00BF5E04">
        <w:t>— На какие выплаты может претендовать участник программы?</w:t>
      </w:r>
    </w:p>
    <w:p w14:paraId="6915133D" w14:textId="77777777" w:rsidR="004B7883" w:rsidRPr="00BF5E04" w:rsidRDefault="004B7883" w:rsidP="004B7883">
      <w:r w:rsidRPr="00BF5E04">
        <w:t>— Пожизненная ежемесячная выплата, срочная периодическая выплата — на срок не менее 10 лет, и единовременная выплата. Последняя назначается в том случае, если денег на счете недостаточно для начисления пожизненной периодической выплаты в размере 10% и более от прожиточного минимума пенсионера в целом по России.</w:t>
      </w:r>
    </w:p>
    <w:p w14:paraId="24D1418E" w14:textId="3D8F1137" w:rsidR="004B7883" w:rsidRDefault="004B7883" w:rsidP="004B7883">
      <w:hyperlink r:id="rId24" w:history="1">
        <w:r w:rsidRPr="00BF5E04">
          <w:rPr>
            <w:rStyle w:val="a3"/>
          </w:rPr>
          <w:t>https://www.herson.kp.ru/daily/27763/5210984/</w:t>
        </w:r>
      </w:hyperlink>
      <w:r w:rsidRPr="00BF5E04">
        <w:t xml:space="preserve"> </w:t>
      </w:r>
    </w:p>
    <w:p w14:paraId="49C2CF86" w14:textId="77777777" w:rsidR="00FF046E" w:rsidRDefault="00FF046E" w:rsidP="00FF046E">
      <w:pPr>
        <w:pStyle w:val="2"/>
      </w:pPr>
      <w:bookmarkStart w:id="81" w:name="_Toc222380348"/>
      <w:r>
        <w:t>ТАСС, 18.02.2026, Свыше 15,5 тыс. жителей ЛНР внесли в ПДС более 520 млн рублей</w:t>
      </w:r>
      <w:bookmarkEnd w:id="81"/>
    </w:p>
    <w:p w14:paraId="51A01FB8" w14:textId="77777777" w:rsidR="00FF046E" w:rsidRDefault="00FF046E" w:rsidP="001A12F0">
      <w:pPr>
        <w:pStyle w:val="3"/>
      </w:pPr>
      <w:bookmarkStart w:id="82" w:name="_Toc222380349"/>
      <w:r>
        <w:t>Более 15,5 тыс. жителей Луганской Народной Республики стали участниками программы долгосрочных сбережений (ПДС) за два года, они внесли в ПДС более 520 млн рублей. Об этом журналистам сообщили в отделении по ЛНР Южного главного управления Банка России.</w:t>
      </w:r>
      <w:bookmarkEnd w:id="82"/>
    </w:p>
    <w:p w14:paraId="06EDC019" w14:textId="3C37DE64" w:rsidR="00FF046E" w:rsidRDefault="00401C97" w:rsidP="00FF046E">
      <w:r>
        <w:t>«</w:t>
      </w:r>
      <w:r w:rsidR="00FF046E">
        <w:t>С момента запуска ПДС количество заключенных в регионе договоров составило почти 15,5 тыс. При этом в 2025 году число новых контрактов выросло примерно в семь раз по сравнению с 2024-м. Общий объем взносов в программу по региону за два года превысил 523 млн рублей. Из них 433 млн рублей составляют взносы, поступившие по договорам, заключенным в 2025 году</w:t>
      </w:r>
      <w:r>
        <w:t>»</w:t>
      </w:r>
      <w:r w:rsidR="00FF046E">
        <w:t>, - сказано в сообщении.</w:t>
      </w:r>
    </w:p>
    <w:p w14:paraId="69EF21EC" w14:textId="067CB855" w:rsidR="00FF046E" w:rsidRDefault="00FF046E" w:rsidP="00FF046E">
      <w:r>
        <w:t xml:space="preserve">По словам управляющего отделением по ЛНР Южного главного управления Банка России Марии Герасимовой, в конце 2025 года в регионе зафиксировали стремительный рост числа участников ПДС. </w:t>
      </w:r>
      <w:r w:rsidR="00401C97">
        <w:t>«</w:t>
      </w:r>
      <w:r>
        <w:t>Только за декабрь количество новых договоров выросло на 21%, а объем взносов увеличился более чем на 30%. А значит, все больше жителей региона понимают: программа долгосрочных сбережений - это реальная возможность не только накопить деньги, чтобы воспользоваться ими в будущем, но и добавить к своим сбережениям определенную сумму от государства</w:t>
      </w:r>
      <w:r w:rsidR="00401C97">
        <w:t>»</w:t>
      </w:r>
      <w:r>
        <w:t>, - приводятся слова Герасимовой в пресс-релизе регионального отделения ЦБ, имеющемся в распоряжении ТАСС.</w:t>
      </w:r>
    </w:p>
    <w:p w14:paraId="15F54656" w14:textId="77777777" w:rsidR="00FF046E" w:rsidRDefault="00FF046E" w:rsidP="00FF046E">
      <w:r>
        <w:t>13 февраля министр финансов России Антон Силуанов сообщал, что 10,5 млн граждан стали участниками ПДС, привлечено 717 млрд рублей за два года.</w:t>
      </w:r>
    </w:p>
    <w:p w14:paraId="7D97FE6C" w14:textId="77777777" w:rsidR="00FF046E" w:rsidRDefault="00FF046E" w:rsidP="00FF046E">
      <w:r>
        <w:t>Про ПДС</w:t>
      </w:r>
    </w:p>
    <w:p w14:paraId="4B086361" w14:textId="77777777" w:rsidR="00FF046E" w:rsidRDefault="00FF046E" w:rsidP="00FF046E">
      <w:r>
        <w:t>Программа долгосрочных сбережений действует с 1 января 2024 года. По программе гражданин может заключить договор с негосударственным пенсионным фондом, перевести в него для дальнейшего инвестирования ранее сформированные пенсионные накопления либо перечислить отдельные взносы.</w:t>
      </w:r>
    </w:p>
    <w:p w14:paraId="1BD95AAE" w14:textId="77777777" w:rsidR="00FF046E" w:rsidRDefault="00FF046E" w:rsidP="00FF046E">
      <w:r>
        <w:t xml:space="preserve">Начать формировать сбережения может любой гражданин России с 18 лет. Для этого необходимо заключить договор с НПФ, который является оператором программы. Минимальный срок участия в программе - 15 лет. До истечения этого срока участники программы могут начать получать выплаты в случае достижения 55 лет женщинами и 60 лет мужчинами. Средства граждан, внесенные в рамках программы, застрахованы государством на сумму 2,8 млн рублей. </w:t>
      </w:r>
    </w:p>
    <w:p w14:paraId="5882C4F6" w14:textId="32FEF34A" w:rsidR="00FF046E" w:rsidRPr="00BF5E04" w:rsidRDefault="00FF046E" w:rsidP="00FF046E">
      <w:hyperlink r:id="rId25" w:history="1">
        <w:r w:rsidRPr="0084065F">
          <w:rPr>
            <w:rStyle w:val="a3"/>
          </w:rPr>
          <w:t>https://tass.ru/ekonomika/26488161</w:t>
        </w:r>
      </w:hyperlink>
      <w:r>
        <w:t xml:space="preserve"> </w:t>
      </w:r>
    </w:p>
    <w:p w14:paraId="4C65CE22" w14:textId="77777777" w:rsidR="00B65246" w:rsidRPr="00BF5E04" w:rsidRDefault="00B65246" w:rsidP="00B65246">
      <w:pPr>
        <w:pStyle w:val="2"/>
      </w:pPr>
      <w:bookmarkStart w:id="83" w:name="_Toc222380350"/>
      <w:r w:rsidRPr="00BF5E04">
        <w:lastRenderedPageBreak/>
        <w:t>Луганский информационный центр, 18.02.2026, Жители ЛНР заключили почти 15,5 тыс. договоров ПДС с начала действия программы</w:t>
      </w:r>
      <w:bookmarkEnd w:id="83"/>
    </w:p>
    <w:p w14:paraId="78A1CB09" w14:textId="77777777" w:rsidR="00B65246" w:rsidRPr="00BF5E04" w:rsidRDefault="00B65246" w:rsidP="001A12F0">
      <w:pPr>
        <w:pStyle w:val="3"/>
      </w:pPr>
      <w:bookmarkStart w:id="84" w:name="_Toc222380351"/>
      <w:r w:rsidRPr="00BF5E04">
        <w:t>Жители ЛНР с момента запуска Программы долгосрочных сбережений (ПДС) заключили почти 15,5 тыс. договоров на общую сумму более 523 млн руб. Об этом ЛИЦ сообщили в Отделении по ЛНР Южного главного управления Банка России.</w:t>
      </w:r>
      <w:bookmarkEnd w:id="84"/>
    </w:p>
    <w:p w14:paraId="71F70C8E" w14:textId="18D55CC1" w:rsidR="00B65246" w:rsidRPr="00BF5E04" w:rsidRDefault="00401C97" w:rsidP="00B65246">
      <w:r>
        <w:t>«</w:t>
      </w:r>
      <w:r w:rsidR="00B65246" w:rsidRPr="00BF5E04">
        <w:t>Жители Луганской Народной Республики все чаще используют Программу долгосрочных сбережений (для формирования дополнительного дохода к пенсии. Интерес к программе уверенно растет. С момента запуска ПДС количество заключенных в регионе договоров составило почти 15,5 тысяч. Общий объем взносов в программу по региону за два года превысил 523 млн руб. Из них 433 млн руб. составляют взносы, поступившие по договорам, заключенным в 2025 году</w:t>
      </w:r>
      <w:r>
        <w:t>»</w:t>
      </w:r>
      <w:r w:rsidR="00B65246" w:rsidRPr="00BF5E04">
        <w:t>, — проинформировали в Отделении.</w:t>
      </w:r>
    </w:p>
    <w:p w14:paraId="2DA9A031" w14:textId="77777777" w:rsidR="00B65246" w:rsidRPr="00BF5E04" w:rsidRDefault="00B65246" w:rsidP="00B65246">
      <w:r w:rsidRPr="00BF5E04">
        <w:t>Там добавили, что в 2025 году число новых контрактов выросло примерно в семь раз по сравнению с 2024-м.</w:t>
      </w:r>
    </w:p>
    <w:p w14:paraId="5F735456" w14:textId="77777777" w:rsidR="00B65246" w:rsidRPr="00BF5E04" w:rsidRDefault="00B65246" w:rsidP="00B65246">
      <w:r w:rsidRPr="00BF5E04">
        <w:t>Управляющий Отделением по ЛНР Южного главного управления Банка России Мария Герасимова отметила, что в декабре прошедшего года объем взносов увеличился более чем на 30%.</w:t>
      </w:r>
    </w:p>
    <w:p w14:paraId="66774D98" w14:textId="433C17B0" w:rsidR="00B65246" w:rsidRPr="00BF5E04" w:rsidRDefault="00401C97" w:rsidP="00B65246">
      <w:r>
        <w:t>«</w:t>
      </w:r>
      <w:r w:rsidR="00B65246" w:rsidRPr="00BF5E04">
        <w:t>Позитивная динамика особенно хорошо видна по статистике конца прошлого года. Только за декабрь количество новых договоров выросло на 21%, а объем взносов увеличился более чем на 30%. А значит, все больше жителей региона понимают: Программа долгосрочных сбережений — это реальная возможность не только накопить деньги, чтобы воспользоваться ими в будущем, но и добавить к своим сбережениям определенную сумму от государства</w:t>
      </w:r>
      <w:r>
        <w:t>»</w:t>
      </w:r>
      <w:r w:rsidR="00B65246" w:rsidRPr="00BF5E04">
        <w:t>, — подчеркнула она.</w:t>
      </w:r>
    </w:p>
    <w:p w14:paraId="09E89EB5" w14:textId="77777777" w:rsidR="00B65246" w:rsidRPr="00BF5E04" w:rsidRDefault="00B65246" w:rsidP="00B65246">
      <w:r w:rsidRPr="00BF5E04">
        <w:t>***</w:t>
      </w:r>
    </w:p>
    <w:p w14:paraId="3C1D3B1A" w14:textId="77777777" w:rsidR="00B65246" w:rsidRPr="00BF5E04" w:rsidRDefault="00B65246" w:rsidP="00B65246">
      <w:r w:rsidRPr="00BF5E04">
        <w:t>Программа долгосрочных сбережений граждан начала действовать в России с 1 января 2024 года.</w:t>
      </w:r>
    </w:p>
    <w:p w14:paraId="48713ADF" w14:textId="3696E018" w:rsidR="00B65246" w:rsidRPr="00BF5E04" w:rsidRDefault="00B65246" w:rsidP="00B65246">
      <w:r w:rsidRPr="00BF5E04">
        <w:t xml:space="preserve">Подробнее узнать о Программе долгосрочных сбережений, условиях участия и государственной поддержке можно на сайте </w:t>
      </w:r>
      <w:r w:rsidR="00401C97">
        <w:t>«</w:t>
      </w:r>
      <w:r w:rsidRPr="00BF5E04">
        <w:t>Финансовая культура</w:t>
      </w:r>
      <w:r w:rsidR="00401C97">
        <w:t>»</w:t>
      </w:r>
      <w:r w:rsidRPr="00BF5E04">
        <w:t>.</w:t>
      </w:r>
    </w:p>
    <w:p w14:paraId="4EB2E202" w14:textId="1D0C9962" w:rsidR="00982984" w:rsidRPr="00BF5E04" w:rsidRDefault="00B65246" w:rsidP="00B65246">
      <w:hyperlink r:id="rId26" w:history="1">
        <w:r w:rsidRPr="00BF5E04">
          <w:rPr>
            <w:rStyle w:val="a3"/>
          </w:rPr>
          <w:t>https://lug-info.ru/news/zhiteli-lnr-zakljuchili-pochti-155-tys.-dogovorov-pds-s-nachala-dejstvija-programmy/</w:t>
        </w:r>
      </w:hyperlink>
    </w:p>
    <w:p w14:paraId="0DB745F2" w14:textId="77777777" w:rsidR="005019D1" w:rsidRPr="00BF5E04" w:rsidRDefault="005019D1" w:rsidP="005019D1">
      <w:pPr>
        <w:pStyle w:val="2"/>
      </w:pPr>
      <w:bookmarkStart w:id="85" w:name="_Toc222380352"/>
      <w:r w:rsidRPr="00BF5E04">
        <w:lastRenderedPageBreak/>
        <w:t>vtomske.ru, 18.02.2026, Финансовая подушка для томичей: как подготовиться к пенсии уже сегодня?</w:t>
      </w:r>
      <w:bookmarkEnd w:id="85"/>
    </w:p>
    <w:p w14:paraId="4B0302D8" w14:textId="06F386B4" w:rsidR="005019D1" w:rsidRPr="00BF5E04" w:rsidRDefault="005019D1" w:rsidP="001A12F0">
      <w:pPr>
        <w:pStyle w:val="3"/>
      </w:pPr>
      <w:bookmarkStart w:id="86" w:name="_Toc222380353"/>
      <w:r w:rsidRPr="00BF5E04">
        <w:t xml:space="preserve">Как комфортно жить на пенсии, сохраняя привычный уровень жизни, и без финансовых забот? Этот вопрос рано или поздно встает перед каждым. Чтобы не зависеть от государства и помощи близких, важно заранее подготовиться к этому этапу. Эксперты НПФ </w:t>
      </w:r>
      <w:r w:rsidR="00401C97">
        <w:t>«</w:t>
      </w:r>
      <w:r w:rsidRPr="00BF5E04">
        <w:t>Будущее</w:t>
      </w:r>
      <w:r w:rsidR="00401C97">
        <w:t>»</w:t>
      </w:r>
      <w:r w:rsidRPr="00BF5E04">
        <w:t xml:space="preserve"> рассказали, какие меры помогут увеличить будущую пенсию и создать надежный финансовый резерв.</w:t>
      </w:r>
      <w:bookmarkEnd w:id="86"/>
    </w:p>
    <w:p w14:paraId="4D90FF92" w14:textId="1D5B8216" w:rsidR="005019D1" w:rsidRPr="00BF5E04" w:rsidRDefault="005019D1" w:rsidP="005019D1">
      <w:r w:rsidRPr="00BF5E04">
        <w:t xml:space="preserve">Способ № 1. Работать официально и получать </w:t>
      </w:r>
      <w:r w:rsidR="00401C97">
        <w:t>«</w:t>
      </w:r>
      <w:r w:rsidRPr="00BF5E04">
        <w:t>белую</w:t>
      </w:r>
      <w:r w:rsidR="00401C97">
        <w:t>»</w:t>
      </w:r>
      <w:r w:rsidRPr="00BF5E04">
        <w:t xml:space="preserve"> зарплату</w:t>
      </w:r>
    </w:p>
    <w:p w14:paraId="4EA95B7B" w14:textId="519B3A3C" w:rsidR="005019D1" w:rsidRPr="00BF5E04" w:rsidRDefault="005019D1" w:rsidP="005019D1">
      <w:r w:rsidRPr="00BF5E04">
        <w:t xml:space="preserve">Как показало исследование НПФ </w:t>
      </w:r>
      <w:r w:rsidR="00401C97">
        <w:t>«</w:t>
      </w:r>
      <w:r w:rsidRPr="00BF5E04">
        <w:t>Будущее</w:t>
      </w:r>
      <w:r w:rsidR="00401C97">
        <w:t>»</w:t>
      </w:r>
      <w:r w:rsidRPr="00BF5E04">
        <w:t xml:space="preserve">, почти половина томичей (43%) на пенсии рассчитывают на государство. Под </w:t>
      </w:r>
      <w:r w:rsidR="00401C97">
        <w:t>«</w:t>
      </w:r>
      <w:r w:rsidRPr="00BF5E04">
        <w:t>государственной пенсией</w:t>
      </w:r>
      <w:r w:rsidR="00401C97">
        <w:t>»</w:t>
      </w:r>
      <w:r w:rsidRPr="00BF5E04">
        <w:t xml:space="preserve"> чаще всего люди подразумевают страховую (по данным Росстата, средний размер назначенных пенсий в России на начало 2026 года превысил 23,5 тысячи рублей). Страховая пенсия формируется из уплаченных работодателем страховых взносов в Социальный фонд России (далее — СФР). Расчеты производятся по достаточно сложной схеме, но известно, что одним из важных показателей является официальный стаж гражданина: именно поэтому важно быть официально трудоустроенным. Чем выше </w:t>
      </w:r>
      <w:r w:rsidR="00401C97">
        <w:t>«</w:t>
      </w:r>
      <w:r w:rsidRPr="00BF5E04">
        <w:t>белая</w:t>
      </w:r>
      <w:r w:rsidR="00401C97">
        <w:t>»</w:t>
      </w:r>
      <w:r w:rsidRPr="00BF5E04">
        <w:t xml:space="preserve"> зарплата, тем больше будет страховая пенсия.</w:t>
      </w:r>
    </w:p>
    <w:p w14:paraId="5227568C" w14:textId="77777777" w:rsidR="005019D1" w:rsidRPr="00BF5E04" w:rsidRDefault="005019D1" w:rsidP="005019D1">
      <w:r w:rsidRPr="00BF5E04">
        <w:t>За готовыми расчетами по вашей будущей пенсии можно:</w:t>
      </w:r>
    </w:p>
    <w:p w14:paraId="4A302308" w14:textId="7E48E8B4" w:rsidR="005019D1" w:rsidRPr="00BF5E04" w:rsidRDefault="005019D1" w:rsidP="005019D1">
      <w:r w:rsidRPr="00BF5E04">
        <w:t xml:space="preserve">обратиться онлайн в личном кабинете на сайте СФР или на портале </w:t>
      </w:r>
      <w:r w:rsidR="00401C97">
        <w:t>«</w:t>
      </w:r>
      <w:r w:rsidRPr="00BF5E04">
        <w:t>Госуслуги</w:t>
      </w:r>
      <w:r w:rsidR="00401C97">
        <w:t>»</w:t>
      </w:r>
      <w:r w:rsidRPr="00BF5E04">
        <w:t>,</w:t>
      </w:r>
    </w:p>
    <w:p w14:paraId="33BCD282" w14:textId="77777777" w:rsidR="005019D1" w:rsidRPr="00BF5E04" w:rsidRDefault="005019D1" w:rsidP="005019D1">
      <w:r w:rsidRPr="00BF5E04">
        <w:t>посетить отделение СФР по месту жительства,</w:t>
      </w:r>
    </w:p>
    <w:p w14:paraId="6DE48E94" w14:textId="77777777" w:rsidR="005019D1" w:rsidRPr="00BF5E04" w:rsidRDefault="005019D1" w:rsidP="005019D1">
      <w:r w:rsidRPr="00BF5E04">
        <w:t>сходить в МФЦ.</w:t>
      </w:r>
    </w:p>
    <w:p w14:paraId="743EBD4C" w14:textId="77777777" w:rsidR="005019D1" w:rsidRPr="00BF5E04" w:rsidRDefault="005019D1" w:rsidP="005019D1">
      <w:r w:rsidRPr="00BF5E04">
        <w:t>Способ № 2. Докупить пенсионные коэффициенты</w:t>
      </w:r>
    </w:p>
    <w:p w14:paraId="25F0FE6D" w14:textId="77777777" w:rsidR="005019D1" w:rsidRPr="00BF5E04" w:rsidRDefault="005019D1" w:rsidP="005019D1">
      <w:r w:rsidRPr="00BF5E04">
        <w:t>Ежегодно требования к минимальному стажу и пенсионным коэффициентам растут. Чтобы получать страховую пенсию в 2026 году, нужно 15 лет стажа и 30 пенсионных коэффициентов минимум. В случае недостатка пенсионных коэффициентов, которые формируются у гражданина в период официальной работы, будущий пенсионер их может докупить. Для этого нужно уплатить добровольные взносы в СФР.</w:t>
      </w:r>
    </w:p>
    <w:p w14:paraId="295D7224" w14:textId="77777777" w:rsidR="005019D1" w:rsidRPr="00BF5E04" w:rsidRDefault="005019D1" w:rsidP="005019D1">
      <w:r w:rsidRPr="00BF5E04">
        <w:t>Способ № 3. Формировать дополнительные накопления с НПФ</w:t>
      </w:r>
    </w:p>
    <w:p w14:paraId="00F0A10E" w14:textId="77777777" w:rsidR="005019D1" w:rsidRPr="00BF5E04" w:rsidRDefault="005019D1" w:rsidP="005019D1">
      <w:r w:rsidRPr="00BF5E04">
        <w:t>Еще один хороший способ сформировать дополнительные сбережения на пенсию — воспользоваться программами негосударственных пенсионных фондов (НПФ). Среди наиболее привлекательных — программа долгосрочных сбережений. Эта программа позволяет:</w:t>
      </w:r>
    </w:p>
    <w:p w14:paraId="2A5F3EA0" w14:textId="77777777" w:rsidR="005019D1" w:rsidRPr="00BF5E04" w:rsidRDefault="005019D1" w:rsidP="005019D1">
      <w:r w:rsidRPr="00BF5E04">
        <w:t>получать господдержку в размере до 36 тысяч рублей в год в течение 10 лет. Льгота зависит от размера официального дохода участника программы: если ежемесячный доход участника до 80 тысяч рублей, то государство добавит на каждый вложенный рубль еще один. При доходе 80 — 150 тысяч рублей для получения максимального софинансирования в 36 тысяч рублей нужно вложить 72 тысячи. Если доход от 150 тысяч рублей, то сумма господдержки начисляется в пропорции 1:4. То есть государство добавит 36 тысяч рублей в год, если участник вложит 144 тысячи рублей.</w:t>
      </w:r>
    </w:p>
    <w:p w14:paraId="22F23DDF" w14:textId="77777777" w:rsidR="005019D1" w:rsidRPr="00BF5E04" w:rsidRDefault="005019D1" w:rsidP="005019D1">
      <w:r w:rsidRPr="00BF5E04">
        <w:lastRenderedPageBreak/>
        <w:t>оформить повышенный налоговый вычет. Максимальная сумма взносов, с которой можно получить налоговый вычет — 400 тысяч рублей в год. Размер возврата зависит от ставки НДФЛ: можно получить от 52 до 88 тысяч рублей. И эти средства можно вернуть и применить с пользой: например, реинвестировать в программу долгосрочных сбережений.</w:t>
      </w:r>
    </w:p>
    <w:p w14:paraId="423C4667" w14:textId="77777777" w:rsidR="005019D1" w:rsidRPr="00BF5E04" w:rsidRDefault="005019D1" w:rsidP="005019D1">
      <w:r w:rsidRPr="00BF5E04">
        <w:t>воспользоваться выплатами досрочно в особых жизненных ситуациях. Кроме того, накопления также можно будет получить после 15 лет действия договора или при достижении возраста женщинами 55 лет, мужчинами — 60-ти.</w:t>
      </w:r>
    </w:p>
    <w:p w14:paraId="1D65A9F6" w14:textId="3950F1DC" w:rsidR="005019D1" w:rsidRPr="00BF5E04" w:rsidRDefault="005019D1" w:rsidP="005019D1">
      <w:r w:rsidRPr="00BF5E04">
        <w:t xml:space="preserve">Фонды уже демонстрируют свою надежность и выплачивают положенные выплаты томичам. Только за прошлый год НПФ </w:t>
      </w:r>
      <w:r w:rsidR="00401C97">
        <w:t>«</w:t>
      </w:r>
      <w:r w:rsidRPr="00BF5E04">
        <w:t>Будущее</w:t>
      </w:r>
      <w:r w:rsidR="00401C97">
        <w:t>»</w:t>
      </w:r>
      <w:r w:rsidRPr="00BF5E04">
        <w:t xml:space="preserve"> выплатил жителям Томска пенсии на сумму 54 миллиона рублей, что на 10% больше, чем годом ранее. В эту сумму вошли выплаты в рамках договоров об ОПС — 45 миллионов рублей и выплаты негосударственной пенсии — 9 миллионов рублей.</w:t>
      </w:r>
    </w:p>
    <w:p w14:paraId="6035F791" w14:textId="77777777" w:rsidR="005019D1" w:rsidRPr="00BF5E04" w:rsidRDefault="005019D1" w:rsidP="005019D1">
      <w:r w:rsidRPr="00BF5E04">
        <w:t>Способ № 4. Задействовать замороженные пенсионные накопления</w:t>
      </w:r>
    </w:p>
    <w:p w14:paraId="11674E2B" w14:textId="77777777" w:rsidR="005019D1" w:rsidRPr="00BF5E04" w:rsidRDefault="005019D1" w:rsidP="005019D1">
      <w:r w:rsidRPr="00BF5E04">
        <w:t>Чтобы в будущем пенсия соответствовала ожиданиям, эксперты рекомендуют задействовать все виды пенсий, в том числе и замороженные пенсионные накопления, которые формировались у жителей Томска в рамках обязательного пенсионного страхования (ОПС). Такие накопления есть у томичей 1967 года рождения и моложе, официально работавших до 2014 года. Работодатели по закону направляли за них отчисления в Пенсионный фонд (сегодня это СФР). Затем закон изменился, и эти деньги оказались заморожены на счетах. Пополнить их самостоятельно с конца 2014 года стало невозможным. Отчислений со стороны работодателей также нет. И сегодня, в основном, эти накопления увеличиваются только за счет инвестиционного дохода, который начиняет фонд, управляющий средствами.</w:t>
      </w:r>
    </w:p>
    <w:p w14:paraId="432E8EF4" w14:textId="17714A5E" w:rsidR="005019D1" w:rsidRPr="00BF5E04" w:rsidRDefault="005019D1" w:rsidP="005019D1">
      <w:r w:rsidRPr="00BF5E04">
        <w:t xml:space="preserve">Кто сейчас управляет этими деньгами? Социальный фонд России либо НПФ. Выяснить какая именно организация руководит накоплениями можно через </w:t>
      </w:r>
      <w:r w:rsidR="00401C97">
        <w:t>«</w:t>
      </w:r>
      <w:r w:rsidRPr="00BF5E04">
        <w:t>Госуслуги</w:t>
      </w:r>
      <w:r w:rsidR="00401C97">
        <w:t>»</w:t>
      </w:r>
      <w:r w:rsidRPr="00BF5E04">
        <w:t xml:space="preserve">. Для этого зайдите в раздел </w:t>
      </w:r>
      <w:r w:rsidR="00401C97">
        <w:t>«</w:t>
      </w:r>
      <w:r w:rsidRPr="00BF5E04">
        <w:t>Пенсия и Пособия</w:t>
      </w:r>
      <w:r w:rsidR="00401C97">
        <w:t>»</w:t>
      </w:r>
      <w:r w:rsidRPr="00BF5E04">
        <w:t xml:space="preserve">, а затем на вкладку </w:t>
      </w:r>
      <w:r w:rsidR="00401C97">
        <w:t>«</w:t>
      </w:r>
      <w:r w:rsidRPr="00BF5E04">
        <w:t>Выписка из лицевого счета в СФР</w:t>
      </w:r>
      <w:r w:rsidR="00401C97">
        <w:t>»</w:t>
      </w:r>
      <w:r w:rsidRPr="00BF5E04">
        <w:t>. Теперь закажите выписку: в ней будет указано, кто сейчас управляет вашей накопительной пенсией.</w:t>
      </w:r>
    </w:p>
    <w:p w14:paraId="6C2EFD7B" w14:textId="4E8922BD" w:rsidR="005019D1" w:rsidRPr="00BF5E04" w:rsidRDefault="005019D1" w:rsidP="005019D1">
      <w:r w:rsidRPr="00BF5E04">
        <w:t xml:space="preserve">Чтобы повысить эффективность управления этими средствами эксперты НПФ </w:t>
      </w:r>
      <w:r w:rsidR="00401C97">
        <w:t>«</w:t>
      </w:r>
      <w:r w:rsidRPr="00BF5E04">
        <w:t>Будущее</w:t>
      </w:r>
      <w:r w:rsidR="00401C97">
        <w:t>»</w:t>
      </w:r>
      <w:r w:rsidRPr="00BF5E04">
        <w:t xml:space="preserve"> рекомендуют перевести пенсионные накопления в программу долгосрочных сбережений. При переводе пенсионных накоплений в ПДС появляются дополнительные возможности увеличить накопления. Во-первых, можно получить более высокий инвестиционный доход, так как пенсионные накопления, переведенные в программу долгосрочных сбережений, размещаются под более высокие ставки. Во-вторых, система получения пенсионных накоплений в ПДС более гибкая. Деньги будут доступны через 15 лет после заключения договора, в 55 лет для женщин или 60 лет для мужчин, а также в особых жизненных ситуациях, например, для оплаты дорогостоящего лечения.</w:t>
      </w:r>
    </w:p>
    <w:p w14:paraId="61BF4587" w14:textId="77777777" w:rsidR="005019D1" w:rsidRPr="00BF5E04" w:rsidRDefault="005019D1" w:rsidP="005019D1">
      <w:r w:rsidRPr="00BF5E04">
        <w:t>Как перевести накопительную пенсию в ПДС в качестве единовременного взноса?</w:t>
      </w:r>
    </w:p>
    <w:p w14:paraId="01DB30FA" w14:textId="6DA29675" w:rsidR="005019D1" w:rsidRPr="00BF5E04" w:rsidRDefault="005019D1" w:rsidP="005019D1">
      <w:r w:rsidRPr="00BF5E04">
        <w:t xml:space="preserve">Шаг 1. На сайте </w:t>
      </w:r>
      <w:r w:rsidR="00401C97">
        <w:t>«</w:t>
      </w:r>
      <w:r w:rsidRPr="00BF5E04">
        <w:t>Госуслуги</w:t>
      </w:r>
      <w:r w:rsidR="00401C97">
        <w:t>»</w:t>
      </w:r>
      <w:r w:rsidRPr="00BF5E04">
        <w:t xml:space="preserve"> запросить данные о том, какая организация (НПФ или СФР) управляет вашими пенсионными накоплениями.</w:t>
      </w:r>
    </w:p>
    <w:p w14:paraId="50F28DA2" w14:textId="06CF9036" w:rsidR="005019D1" w:rsidRPr="00BF5E04" w:rsidRDefault="005019D1" w:rsidP="005019D1">
      <w:r w:rsidRPr="00BF5E04">
        <w:lastRenderedPageBreak/>
        <w:t xml:space="preserve">Шаг 2. Если накоплениями управляет СФР, переведите их в негосударственной пенсионный фонд, например, </w:t>
      </w:r>
      <w:r w:rsidR="00401C97">
        <w:t>«</w:t>
      </w:r>
      <w:r w:rsidRPr="00BF5E04">
        <w:t>Будущее</w:t>
      </w:r>
      <w:r w:rsidR="00401C97">
        <w:t>»</w:t>
      </w:r>
      <w:r w:rsidRPr="00BF5E04">
        <w:t>. Сделать это можно, заключив с фондом договор об обязательном пенсионном страховании.</w:t>
      </w:r>
    </w:p>
    <w:p w14:paraId="04305D25" w14:textId="77777777" w:rsidR="005019D1" w:rsidRPr="00BF5E04" w:rsidRDefault="005019D1" w:rsidP="005019D1">
      <w:r w:rsidRPr="00BF5E04">
        <w:t>Шаг 3. Подайте в Социальный фонд России заявление о переходе или досрочном переходе в НПФ.</w:t>
      </w:r>
    </w:p>
    <w:p w14:paraId="4E71FE07" w14:textId="77777777" w:rsidR="005019D1" w:rsidRPr="00BF5E04" w:rsidRDefault="005019D1" w:rsidP="005019D1">
      <w:r w:rsidRPr="00BF5E04">
        <w:t>Шаг 4. Как только переход будет совершен, нужно заключить отдельный договор долгосрочных сбережений и перевести в ПДС эти средства.</w:t>
      </w:r>
    </w:p>
    <w:p w14:paraId="062B251E" w14:textId="2CD2A94E" w:rsidR="005019D1" w:rsidRPr="00BF5E04" w:rsidRDefault="005019D1" w:rsidP="005019D1">
      <w:r w:rsidRPr="00BF5E04">
        <w:t xml:space="preserve">Чтобы сформировать финансовую подушку безопасности и уверенно чувствовать себя в будущем, важно начинать заботиться о пенсии заранее. Официальная работа, ПДС с господдержкой и использование </w:t>
      </w:r>
      <w:r w:rsidR="00401C97">
        <w:t>«</w:t>
      </w:r>
      <w:r w:rsidRPr="00BF5E04">
        <w:t>замороженных</w:t>
      </w:r>
      <w:r w:rsidR="00401C97">
        <w:t>»</w:t>
      </w:r>
      <w:r w:rsidRPr="00BF5E04">
        <w:t xml:space="preserve"> пенсионных накоплений могут значительно увеличить ваши выплаты.</w:t>
      </w:r>
    </w:p>
    <w:p w14:paraId="403BA9D1" w14:textId="60717DA2" w:rsidR="005019D1" w:rsidRPr="00BF5E04" w:rsidRDefault="005019D1" w:rsidP="005019D1">
      <w:r w:rsidRPr="00BF5E04">
        <w:t xml:space="preserve">Жителям Томска и Томской области специалисты НПФ </w:t>
      </w:r>
      <w:r w:rsidR="00401C97">
        <w:t>«</w:t>
      </w:r>
      <w:r w:rsidRPr="00BF5E04">
        <w:t>Будущее</w:t>
      </w:r>
      <w:r w:rsidR="00401C97">
        <w:t>»</w:t>
      </w:r>
      <w:r w:rsidRPr="00BF5E04">
        <w:t xml:space="preserve"> помогут подобрать оптимальное индивидуальное решение.</w:t>
      </w:r>
    </w:p>
    <w:p w14:paraId="4BEEA06D" w14:textId="53CDFD9B" w:rsidR="005019D1" w:rsidRPr="00BF5E04" w:rsidRDefault="005019D1" w:rsidP="005019D1">
      <w:r w:rsidRPr="00BF5E04">
        <w:t xml:space="preserve">Позвоните в НПФ </w:t>
      </w:r>
      <w:r w:rsidR="00401C97">
        <w:t>«</w:t>
      </w:r>
      <w:r w:rsidRPr="00BF5E04">
        <w:t>Будущее</w:t>
      </w:r>
      <w:r w:rsidR="00401C97">
        <w:t>»</w:t>
      </w:r>
      <w:r w:rsidRPr="00BF5E04">
        <w:t xml:space="preserve"> по телефону 8 800 555-0-555 — получите персональную консультацию и ответы на все вопросы о накоплениях и программе долгосрочных сбережений.</w:t>
      </w:r>
    </w:p>
    <w:p w14:paraId="44971698" w14:textId="73B24F54" w:rsidR="00B65246" w:rsidRPr="00BF5E04" w:rsidRDefault="005019D1" w:rsidP="005019D1">
      <w:hyperlink r:id="rId27" w:history="1">
        <w:r w:rsidRPr="00BF5E04">
          <w:rPr>
            <w:rStyle w:val="a3"/>
          </w:rPr>
          <w:t>https://vtomske.ru/article/213698-finansovaya-podushka-dlya-tomichei-kak-podgotovitsya-k-pensii-uje-segodnya</w:t>
        </w:r>
      </w:hyperlink>
    </w:p>
    <w:p w14:paraId="65D396A5" w14:textId="77777777" w:rsidR="005019D1" w:rsidRPr="00BF5E04" w:rsidRDefault="005019D1" w:rsidP="005019D1"/>
    <w:p w14:paraId="61C77DB8" w14:textId="77777777" w:rsidR="00111D7C" w:rsidRDefault="00111D7C" w:rsidP="00111D7C">
      <w:pPr>
        <w:pStyle w:val="10"/>
      </w:pPr>
      <w:bookmarkStart w:id="87" w:name="_Toc165991074"/>
      <w:bookmarkStart w:id="88" w:name="_Toc222380354"/>
      <w:r w:rsidRPr="00BF5E04">
        <w:t>Новости развития системы обязательного пенсионного страхования и страховой пенсии</w:t>
      </w:r>
      <w:bookmarkEnd w:id="49"/>
      <w:bookmarkEnd w:id="50"/>
      <w:bookmarkEnd w:id="51"/>
      <w:bookmarkEnd w:id="87"/>
      <w:bookmarkEnd w:id="88"/>
    </w:p>
    <w:p w14:paraId="2F2E96C1" w14:textId="04D13496" w:rsidR="004E002C" w:rsidRDefault="004E002C" w:rsidP="004E002C">
      <w:pPr>
        <w:pStyle w:val="2"/>
      </w:pPr>
      <w:bookmarkStart w:id="89" w:name="_Toc222380355"/>
      <w:r>
        <w:t>ПРАЙМ, 18.02.2026</w:t>
      </w:r>
      <w:r w:rsidRPr="004E002C">
        <w:t xml:space="preserve">, </w:t>
      </w:r>
      <w:r>
        <w:t>Социальные выплаты в РФ должны производиться своевременно, все для этого есть - Путин</w:t>
      </w:r>
      <w:bookmarkEnd w:id="89"/>
    </w:p>
    <w:p w14:paraId="295A3D6F" w14:textId="6493175E" w:rsidR="004E002C" w:rsidRDefault="004E002C" w:rsidP="004E002C">
      <w:pPr>
        <w:pStyle w:val="3"/>
      </w:pPr>
      <w:bookmarkStart w:id="90" w:name="_Toc222380356"/>
      <w:r>
        <w:t>Социальные выплаты в России должны производиться своевременно, все для этого есть, главное не нарушать дисциплину, заявил президент РФ Владимир Путин.</w:t>
      </w:r>
      <w:bookmarkEnd w:id="90"/>
    </w:p>
    <w:p w14:paraId="1FE2D70A" w14:textId="05F3A491" w:rsidR="004E002C" w:rsidRPr="004E002C" w:rsidRDefault="004E002C" w:rsidP="004E002C">
      <w:r>
        <w:t>"Социальные выплаты, чтобы все здесь шло своевременно. Все у нас для этого есть, главное здесь не нарушать соответствующую дисциплину", - сказал Путин в ходе совещания с членами правительства РФ в режиме видеоконференции.</w:t>
      </w:r>
    </w:p>
    <w:p w14:paraId="467C211F" w14:textId="77777777" w:rsidR="00392034" w:rsidRPr="00BF5E04" w:rsidRDefault="00392034" w:rsidP="00392034">
      <w:pPr>
        <w:pStyle w:val="2"/>
      </w:pPr>
      <w:bookmarkStart w:id="91" w:name="_Toc222380357"/>
      <w:r w:rsidRPr="00BF5E04">
        <w:lastRenderedPageBreak/>
        <w:t>РИА Новости, 18.02.2026, Совфед одобрил закон о расширении учета страховых прав граждан через Соцфонд</w:t>
      </w:r>
      <w:bookmarkEnd w:id="91"/>
    </w:p>
    <w:p w14:paraId="230F71B0" w14:textId="77777777" w:rsidR="00392034" w:rsidRPr="00BF5E04" w:rsidRDefault="00392034" w:rsidP="001A12F0">
      <w:pPr>
        <w:pStyle w:val="3"/>
      </w:pPr>
      <w:bookmarkStart w:id="92" w:name="_Toc222380358"/>
      <w:r w:rsidRPr="00BF5E04">
        <w:t>Совет Федерации на заседании в среду одобрил закон, направленный на расширение возможностей системы персонифицированного учета для формирования страховых прав граждан.</w:t>
      </w:r>
      <w:bookmarkEnd w:id="92"/>
    </w:p>
    <w:p w14:paraId="2289408F" w14:textId="77777777" w:rsidR="00392034" w:rsidRPr="00BF5E04" w:rsidRDefault="00392034" w:rsidP="00392034">
      <w:r w:rsidRPr="00BF5E04">
        <w:t>Законом предлагается использовать систему индивидуального учета не только для пенсионного страхования, но и для формирования прав на страховое обеспечение по социальному страхованию, определения его размера и информирования граждан.</w:t>
      </w:r>
    </w:p>
    <w:p w14:paraId="067E7CB4" w14:textId="1F271F9F" w:rsidR="00392034" w:rsidRPr="00BF5E04" w:rsidRDefault="00392034" w:rsidP="00392034">
      <w:r w:rsidRPr="00BF5E04">
        <w:t xml:space="preserve">Вводится понятие </w:t>
      </w:r>
      <w:r w:rsidR="00401C97">
        <w:t>«</w:t>
      </w:r>
      <w:r w:rsidRPr="00BF5E04">
        <w:t>договоры гражданско-правового характера</w:t>
      </w:r>
      <w:r w:rsidR="00401C97">
        <w:t>»</w:t>
      </w:r>
      <w:r w:rsidRPr="00BF5E04">
        <w:t>, уточняются понятия страхователей и страховых взносов, включая взносы на случай временной нетрудоспособности, материнства и несчастных случаев на производстве.</w:t>
      </w:r>
    </w:p>
    <w:p w14:paraId="3D82B532" w14:textId="77777777" w:rsidR="00392034" w:rsidRPr="00BF5E04" w:rsidRDefault="00392034" w:rsidP="00392034">
      <w:r w:rsidRPr="00BF5E04">
        <w:t>Кроме того, законом предусмотрено дополнение индивидуальных лицевых счетов сведениями о периодах, засчитываемых в страховой стаж, а также суммой начисленных страховых взносов по доле единого тарифа, что позволит информировать граждан о праве на пособия, в том числе работающих по гражданско-правовым договорам.</w:t>
      </w:r>
    </w:p>
    <w:p w14:paraId="5A6E14A8" w14:textId="77777777" w:rsidR="00392034" w:rsidRPr="00BF5E04" w:rsidRDefault="00392034" w:rsidP="00392034">
      <w:r w:rsidRPr="00BF5E04">
        <w:t>Социальный фонд России, согласно документу, получит сведения о документе, удостоверяющем личность гражданина, из федерального регистра сведений о населении, а для учета пенсионных прав священнослужителей вводится обязанность годового представления сведений о периодах деятельности.</w:t>
      </w:r>
    </w:p>
    <w:p w14:paraId="4C1B5489" w14:textId="77777777" w:rsidR="00392034" w:rsidRPr="00BF5E04" w:rsidRDefault="00392034" w:rsidP="00392034">
      <w:r w:rsidRPr="00BF5E04">
        <w:t>Законом предусматривается также беззаявительный порядок регистрации индивидуальных предпринимателей, заключивших договоры гражданско-правового характера, в качестве страхователей по обязательному социальному страхованию, а также уточняются основания снятия с учета.</w:t>
      </w:r>
    </w:p>
    <w:p w14:paraId="138348B6" w14:textId="4F86EE00" w:rsidR="00392034" w:rsidRPr="00BF5E04" w:rsidRDefault="00392034" w:rsidP="00392034">
      <w:r w:rsidRPr="00BF5E04">
        <w:t>Кроме того, уточняется, что требование о пятилетнем сроке проживания в России для получения пособий не распространяется на граждан, в частности приобретших гражданство по рождению, участников специальной военной операции и членов их семей, а также на ветеранов боевых действий.</w:t>
      </w:r>
    </w:p>
    <w:p w14:paraId="3FDD6890" w14:textId="77777777" w:rsidR="005B095A" w:rsidRPr="00BF5E04" w:rsidRDefault="005B095A" w:rsidP="005B095A">
      <w:pPr>
        <w:pStyle w:val="2"/>
      </w:pPr>
      <w:bookmarkStart w:id="93" w:name="_Toc222380359"/>
      <w:r w:rsidRPr="00BF5E04">
        <w:t>ТАСС, 18.02.2026, СФ одобрил сохранение выплат для многодетных семей в случае превышения доходов</w:t>
      </w:r>
      <w:bookmarkEnd w:id="93"/>
    </w:p>
    <w:p w14:paraId="2C013B06" w14:textId="77777777" w:rsidR="005B095A" w:rsidRPr="00BF5E04" w:rsidRDefault="005B095A" w:rsidP="001A12F0">
      <w:pPr>
        <w:pStyle w:val="3"/>
      </w:pPr>
      <w:bookmarkStart w:id="94" w:name="_Toc222380360"/>
      <w:r w:rsidRPr="00BF5E04">
        <w:t>Совет Федерации на пленарном заседании одобрил закон о критериях сохранения ежемесячного пособия многодетным семьям. Он позволит сохранить выплаты при незначительном превышении среднедушевого дохода - не более чем на 10% выше регионального прожиточного минимума.</w:t>
      </w:r>
      <w:bookmarkEnd w:id="94"/>
    </w:p>
    <w:p w14:paraId="46421F6F" w14:textId="30C5DD48" w:rsidR="005B095A" w:rsidRPr="00BF5E04" w:rsidRDefault="005B095A" w:rsidP="005B095A">
      <w:r w:rsidRPr="00BF5E04">
        <w:t xml:space="preserve">Изменения вносятся в федеральный закон </w:t>
      </w:r>
      <w:r w:rsidR="00401C97">
        <w:t>«</w:t>
      </w:r>
      <w:r w:rsidRPr="00BF5E04">
        <w:t>Об индивидуальном (персонифицированном) учете в системах обязательного пенсионного страхования и обязательного социального страхования</w:t>
      </w:r>
      <w:r w:rsidR="00401C97">
        <w:t>»</w:t>
      </w:r>
      <w:r w:rsidRPr="00BF5E04">
        <w:t xml:space="preserve"> и отдельные законодательные акты РФ. Закон был инициирован правительством России.</w:t>
      </w:r>
    </w:p>
    <w:p w14:paraId="71BCBF63" w14:textId="77777777" w:rsidR="005B095A" w:rsidRPr="00BF5E04" w:rsidRDefault="005B095A" w:rsidP="005B095A">
      <w:r w:rsidRPr="00BF5E04">
        <w:t xml:space="preserve">Поправки определяют критерии сохранения ежемесячного пособия в связи с рождением и воспитанием ребенка многодетным родителям, получающим среднедушевой доход не более чем на 10% выше величины регионального прожиточного минимума. Размер </w:t>
      </w:r>
      <w:r w:rsidRPr="00BF5E04">
        <w:lastRenderedPageBreak/>
        <w:t>единого пособия при этом будет составлять 50% прожиточного минимума на детей, установленного в регионе.</w:t>
      </w:r>
    </w:p>
    <w:p w14:paraId="71071F8A" w14:textId="77777777" w:rsidR="005B095A" w:rsidRPr="00BF5E04" w:rsidRDefault="005B095A" w:rsidP="005B095A">
      <w:r w:rsidRPr="00BF5E04">
        <w:t>В случае подписания президентом закон начнет действовать через 90 дней после официального опубликования. Если же некоторые многодетные семьи с 1 января 2026 года уже получили отказ в назначении ежемесячного пособия из-за превышения дохода семьи, эти решения будут пересмотрены в беззаявительном порядке.</w:t>
      </w:r>
    </w:p>
    <w:p w14:paraId="3951E499" w14:textId="7FE334F2" w:rsidR="005B095A" w:rsidRPr="00BF5E04" w:rsidRDefault="005B095A" w:rsidP="005B095A">
      <w:r w:rsidRPr="00BF5E04">
        <w:t xml:space="preserve">В декабре 2025 года в ходе программы </w:t>
      </w:r>
      <w:r w:rsidR="00401C97">
        <w:t>«</w:t>
      </w:r>
      <w:r w:rsidRPr="00BF5E04">
        <w:t>Итоги года</w:t>
      </w:r>
      <w:r w:rsidR="00401C97">
        <w:t>»</w:t>
      </w:r>
      <w:r w:rsidRPr="00BF5E04">
        <w:t xml:space="preserve"> президент России Владимир Путин, отвечая на вопрос многодетной тюменки Гульнары Баязитовой на прямой линии в декабре, назвал ошибкой правительства формалистический подход к начислению пособий, который лишает такие семьи средств, едва у родителей немного увеличивается зарплата. Путин немедленно дал кабмину поручение разобраться с проблемой.</w:t>
      </w:r>
    </w:p>
    <w:p w14:paraId="15BB97FA" w14:textId="77777777" w:rsidR="005B095A" w:rsidRPr="00BF5E04" w:rsidRDefault="005B095A" w:rsidP="005B095A">
      <w:r w:rsidRPr="00BF5E04">
        <w:t>Президент вновь поднял вопрос на совещании уже в январе, потребовав как можно быстрее решить все вопросы. Вице-премьер Татьяна Голикова тогда отметила, что в кабмине рассчитывают все законодательные процедуры завершить к маю, но так, чтобы пособия многодетным семьям были выплачены за период с января.</w:t>
      </w:r>
    </w:p>
    <w:p w14:paraId="3D2EE0C6" w14:textId="16A52193" w:rsidR="00111D7C" w:rsidRDefault="005B095A" w:rsidP="005B095A">
      <w:hyperlink r:id="rId28" w:history="1">
        <w:r w:rsidRPr="00BF5E04">
          <w:rPr>
            <w:rStyle w:val="a3"/>
          </w:rPr>
          <w:t>https://tass.ru/obschestvo/26480851</w:t>
        </w:r>
      </w:hyperlink>
    </w:p>
    <w:p w14:paraId="4646B603" w14:textId="2617A548" w:rsidR="00172B5B" w:rsidRDefault="00172B5B" w:rsidP="00172B5B">
      <w:pPr>
        <w:pStyle w:val="2"/>
      </w:pPr>
      <w:bookmarkStart w:id="95" w:name="_Toc222380361"/>
      <w:r>
        <w:t>РИА Новости, 19.02.2026</w:t>
      </w:r>
      <w:r w:rsidRPr="00172B5B">
        <w:t xml:space="preserve">, </w:t>
      </w:r>
      <w:r>
        <w:t>Кто сможет досрочно выйти на пенсию в 2026 году, рассказали в Совфеде</w:t>
      </w:r>
      <w:bookmarkEnd w:id="95"/>
    </w:p>
    <w:p w14:paraId="21C16D67" w14:textId="77777777" w:rsidR="00172B5B" w:rsidRDefault="00172B5B" w:rsidP="00172B5B">
      <w:pPr>
        <w:pStyle w:val="3"/>
      </w:pPr>
      <w:bookmarkStart w:id="96" w:name="_Toc222380362"/>
      <w:r>
        <w:t>Право на досрочную пенсию в 2026 году имеют граждане с длительным стажем, многодетные матери, а также россияне с "северным" стажем, рассказала РИА Новости сенатор, экс-глава отделения Соцфонда по Псковской области Наталья Мельникова.</w:t>
      </w:r>
      <w:bookmarkEnd w:id="96"/>
    </w:p>
    <w:p w14:paraId="148ED9DE" w14:textId="77777777" w:rsidR="00172B5B" w:rsidRDefault="00172B5B" w:rsidP="00172B5B">
      <w:r>
        <w:t>"В 2026 году право на досрочную пенсию за длительный стаж имеют мужчины при достижении 62 лет со стажем не менее 42 лет и женщины при достижении 57 лет со стажем не менее 37 лет . При этом необходимо иметь не менее 30 индивидуальных пенсионных коэффициентов (ИПК)", - сказала Мельникова.</w:t>
      </w:r>
    </w:p>
    <w:p w14:paraId="4748DE22" w14:textId="77777777" w:rsidR="00172B5B" w:rsidRDefault="00172B5B" w:rsidP="00172B5B">
      <w:r>
        <w:t>Кроме того, рассказала сенатор, право на досрочную пенсию имеют многодетные матери.</w:t>
      </w:r>
    </w:p>
    <w:p w14:paraId="517E98F0" w14:textId="77777777" w:rsidR="00172B5B" w:rsidRDefault="00172B5B" w:rsidP="00172B5B">
      <w:r>
        <w:t>"Многодетные матери право на досрочный выход на пенсию в зависимости от количества воспитанных до восьми лет детей: с пятью детьми и более - в 50 лет, с четырьмя детьми - в 56 лет, с тремя детьми - в 57 лет. Основные условия: наличие не менее 15 лет стажа, 30 пенсионных коэффициентов и отсутствие лишения родительских прав", - объяснила парламентарий.</w:t>
      </w:r>
    </w:p>
    <w:p w14:paraId="00BE202F" w14:textId="77777777" w:rsidR="00172B5B" w:rsidRDefault="00172B5B" w:rsidP="00172B5B">
      <w:r>
        <w:t>Также досрочно выйти на пенсию в 2026 году смогут граждане, имеющие "северный" стаж - на Крайнем Севере или в приравненных к ним местностях.</w:t>
      </w:r>
    </w:p>
    <w:p w14:paraId="050257FF" w14:textId="18E55B41" w:rsidR="00172B5B" w:rsidRPr="00BF5E04" w:rsidRDefault="00172B5B" w:rsidP="00172B5B">
      <w:r>
        <w:t xml:space="preserve">"Женщины, родившие двух и более детей, могут выйти на пенсию в 50 лет при стаже 12 лет на Крайнем Севере или 17 лет в приравненных к ним местностях, при этом страховой стаж должен составлять от 20 лет. Досрочная пенсия по "северному стажу" предоставляется также мужчинам в 60 лет (при страховом стаже 25 лет) и женщинам - в 55 лет (при страховом стаже 20 лет), при этом стаж на Севере должен составлять 15 лет </w:t>
      </w:r>
      <w:r>
        <w:lastRenderedPageBreak/>
        <w:t>в районах Крайнего Севера или 20 лет в приравненных к ним местностях. Необходимое условие - иметь не менее 30 ИПК", - добавила парламентарий.</w:t>
      </w:r>
    </w:p>
    <w:p w14:paraId="0CD6AC82" w14:textId="77777777" w:rsidR="004031EE" w:rsidRPr="00BF5E04" w:rsidRDefault="004031EE" w:rsidP="004031EE">
      <w:pPr>
        <w:pStyle w:val="2"/>
      </w:pPr>
      <w:bookmarkStart w:id="97" w:name="_Toc222380363"/>
      <w:r w:rsidRPr="00BF5E04">
        <w:t>RT, 18.02.2026, Россиянам объяснили, когда возможен переход с социальной пенсии на страховую</w:t>
      </w:r>
      <w:bookmarkEnd w:id="97"/>
    </w:p>
    <w:p w14:paraId="22A4B32C" w14:textId="77777777" w:rsidR="004031EE" w:rsidRPr="00BF5E04" w:rsidRDefault="004031EE" w:rsidP="001A12F0">
      <w:pPr>
        <w:pStyle w:val="3"/>
      </w:pPr>
      <w:bookmarkStart w:id="98" w:name="_Toc222380364"/>
      <w:r w:rsidRPr="00BF5E04">
        <w:t>Перевод с социальной пенсии на страховую возможен, но не происходит автоматически. Он доступен только в том случае, если у человека появляется право на страховую пенсию соответствующего вида и подано заявление о переводе. Об этом рассказал в беседе с RT депутат Госдумы, член комитета по малому и среднему предпринимательству Алексей Говырин.</w:t>
      </w:r>
      <w:bookmarkEnd w:id="98"/>
    </w:p>
    <w:p w14:paraId="237A5E73" w14:textId="77777777" w:rsidR="004031EE" w:rsidRPr="00BF5E04" w:rsidRDefault="004031EE" w:rsidP="004031EE">
      <w:r w:rsidRPr="00BF5E04">
        <w:t>При этом, по его словам, действует общий принцип из закона о государственном пенсионном обеспечении: если гражданин одновременно имеет право на разные пенсии, устанавливается одна по выбору, за исключением отдельных льготных категорий, которым федеральным законом разрешено получать две пенсии.</w:t>
      </w:r>
    </w:p>
    <w:p w14:paraId="288635D9" w14:textId="599D5936" w:rsidR="004031EE" w:rsidRPr="00BF5E04" w:rsidRDefault="00401C97" w:rsidP="004031EE">
      <w:r>
        <w:t>«</w:t>
      </w:r>
      <w:r w:rsidR="004031EE" w:rsidRPr="00BF5E04">
        <w:t>Самый распространённый случай - это переход с социальной пенсии по старости на страховую. Социальную по старости обычно получают те, кому не хватило стажа или пенсионных баллов для страховой. Чтобы перейти, нужно выполнить три условия: достичь пенсионного возраста для страховой пенсии (в 2026 году это 64 года для мужчин и 59 лет для женщин), иметь страховой стаж не менее 15 лет и набрать не менее 30 пенсионных коэффициентов (ИПК)</w:t>
      </w:r>
      <w:r>
        <w:t>»</w:t>
      </w:r>
      <w:r w:rsidR="004031EE" w:rsidRPr="00BF5E04">
        <w:t>, - напомнил парламентарий.</w:t>
      </w:r>
    </w:p>
    <w:p w14:paraId="3FCC9807" w14:textId="77777777" w:rsidR="004031EE" w:rsidRPr="00BF5E04" w:rsidRDefault="004031EE" w:rsidP="004031EE">
      <w:r w:rsidRPr="00BF5E04">
        <w:t>То есть, если человек продолжает работать или доработал недостающий стаж и баллы, он может обратиться за переводом, объяснил Говырин.</w:t>
      </w:r>
    </w:p>
    <w:p w14:paraId="26F12859" w14:textId="77777777" w:rsidR="004031EE" w:rsidRPr="00BF5E04" w:rsidRDefault="004031EE" w:rsidP="004031EE">
      <w:r w:rsidRPr="00BF5E04">
        <w:t>Отмечается, что при инвалидности перейти с социальной на страховую пенсию проще.</w:t>
      </w:r>
    </w:p>
    <w:p w14:paraId="0CA5B614" w14:textId="50AC9425" w:rsidR="004031EE" w:rsidRPr="00BF5E04" w:rsidRDefault="00401C97" w:rsidP="004031EE">
      <w:r>
        <w:t>«</w:t>
      </w:r>
      <w:r w:rsidR="004031EE" w:rsidRPr="00BF5E04">
        <w:t>Для страховой пенсии по инвалидности достаточно иметь хотя бы один день страхового стажа. Закон не требует минимальной длительности, важен сам факт наличия. Если стажа нет совсем, назначается социальная</w:t>
      </w:r>
      <w:r>
        <w:t>»</w:t>
      </w:r>
      <w:r w:rsidR="004031EE" w:rsidRPr="00BF5E04">
        <w:t>, - добавил собеседник RT.</w:t>
      </w:r>
    </w:p>
    <w:p w14:paraId="4C46C547" w14:textId="77777777" w:rsidR="004031EE" w:rsidRPr="00BF5E04" w:rsidRDefault="004031EE" w:rsidP="004031EE">
      <w:r w:rsidRPr="00BF5E04">
        <w:t>По его словам, аналогичная логика работает при потере кормильца.</w:t>
      </w:r>
    </w:p>
    <w:p w14:paraId="520B0E7B" w14:textId="3BDE8793" w:rsidR="004031EE" w:rsidRPr="00BF5E04" w:rsidRDefault="00401C97" w:rsidP="004031EE">
      <w:r>
        <w:t>«</w:t>
      </w:r>
      <w:r w:rsidR="004031EE" w:rsidRPr="00BF5E04">
        <w:t>Если у умершего кормильца был страховой стаж хотя бы один день и соблюдены условия по иждивению и нетрудоспособности членов семьи, возможен перевод на страховую пенсию по потере кормильца. Это бывает актуально, когда изначально не удалось подтвердить наличие стажа у кормильца, а позже документы нашлись</w:t>
      </w:r>
      <w:r>
        <w:t>»</w:t>
      </w:r>
      <w:r w:rsidR="004031EE" w:rsidRPr="00BF5E04">
        <w:t>, - разъяснил Говырин.</w:t>
      </w:r>
    </w:p>
    <w:p w14:paraId="0D376EC9" w14:textId="3460AD3C" w:rsidR="004031EE" w:rsidRPr="00BF5E04" w:rsidRDefault="004031EE" w:rsidP="004031EE">
      <w:r w:rsidRPr="00BF5E04">
        <w:t xml:space="preserve">Он отметил, что заявление о переводе подают в Социальный фонд России лично, через МФЦ или через </w:t>
      </w:r>
      <w:r w:rsidR="00401C97">
        <w:t>«</w:t>
      </w:r>
      <w:r w:rsidRPr="00BF5E04">
        <w:t>Госуслуги</w:t>
      </w:r>
      <w:r w:rsidR="00401C97">
        <w:t>»</w:t>
      </w:r>
      <w:r w:rsidRPr="00BF5E04">
        <w:t>.</w:t>
      </w:r>
    </w:p>
    <w:p w14:paraId="22A1D04A" w14:textId="0D04050E" w:rsidR="004031EE" w:rsidRPr="00BF5E04" w:rsidRDefault="00401C97" w:rsidP="004031EE">
      <w:r>
        <w:t>«</w:t>
      </w:r>
      <w:r w:rsidR="004031EE" w:rsidRPr="00BF5E04">
        <w:t xml:space="preserve">Перед подачей заявления имеет смысл проверить свой стаж и накопленные пенсионные коэффициенты в личном кабинете на </w:t>
      </w:r>
      <w:r>
        <w:t>«</w:t>
      </w:r>
      <w:r w:rsidR="004031EE" w:rsidRPr="00BF5E04">
        <w:t>Госуслугах</w:t>
      </w:r>
      <w:r>
        <w:t>»</w:t>
      </w:r>
      <w:r w:rsidR="004031EE" w:rsidRPr="00BF5E04">
        <w:t xml:space="preserve"> через выписку из индивидуального лицевого счёта</w:t>
      </w:r>
      <w:r>
        <w:t>»</w:t>
      </w:r>
      <w:r w:rsidR="004031EE" w:rsidRPr="00BF5E04">
        <w:t>, - посоветовал депутат.</w:t>
      </w:r>
    </w:p>
    <w:p w14:paraId="34C0745C" w14:textId="77777777" w:rsidR="004031EE" w:rsidRPr="00BF5E04" w:rsidRDefault="004031EE" w:rsidP="004031EE">
      <w:r w:rsidRPr="00BF5E04">
        <w:t>Парламентарий рассказал, что если каких-то периодов работы нет в учёте, стоит заранее подготовить подтверждающие документы, чаще всего это трудовая книжка или сведения о трудовой деятельности.</w:t>
      </w:r>
    </w:p>
    <w:p w14:paraId="563CC037" w14:textId="77777777" w:rsidR="004031EE" w:rsidRPr="00BF5E04" w:rsidRDefault="004031EE" w:rsidP="004031EE">
      <w:r w:rsidRPr="00BF5E04">
        <w:t>Ранее в Госдуме разъяснили, поможет ли работа перед пенсией увеличить выплаты.</w:t>
      </w:r>
    </w:p>
    <w:p w14:paraId="18027F4C" w14:textId="3158746A" w:rsidR="004031EE" w:rsidRPr="00BF5E04" w:rsidRDefault="004031EE" w:rsidP="004031EE">
      <w:hyperlink r:id="rId29" w:history="1">
        <w:r w:rsidRPr="00BF5E04">
          <w:rPr>
            <w:rStyle w:val="a3"/>
          </w:rPr>
          <w:t>https://russian.rt.com/russia/news/1597242-deputat-pensiya-perehod-usloviya</w:t>
        </w:r>
      </w:hyperlink>
      <w:r w:rsidRPr="00BF5E04">
        <w:t xml:space="preserve"> </w:t>
      </w:r>
    </w:p>
    <w:p w14:paraId="765E436B" w14:textId="77777777" w:rsidR="00853D80" w:rsidRPr="00BF5E04" w:rsidRDefault="00853D80" w:rsidP="00853D80">
      <w:pPr>
        <w:pStyle w:val="2"/>
      </w:pPr>
      <w:bookmarkStart w:id="99" w:name="_Toc222380365"/>
      <w:r w:rsidRPr="00BF5E04">
        <w:t>РИА Новости, 18.02.2026, Эксперт назвала средний возраст пожилого человека в России</w:t>
      </w:r>
      <w:bookmarkEnd w:id="99"/>
    </w:p>
    <w:p w14:paraId="194D5A88" w14:textId="77777777" w:rsidR="00853D80" w:rsidRPr="00BF5E04" w:rsidRDefault="00853D80" w:rsidP="001A12F0">
      <w:pPr>
        <w:pStyle w:val="3"/>
      </w:pPr>
      <w:bookmarkStart w:id="100" w:name="_Toc222380366"/>
      <w:r w:rsidRPr="00BF5E04">
        <w:t>Возраст пожилого человека составляет примерно 60 лет, однако его предел должен сдвигаться, потому что функциональность человека сохраняется сейчас намного дольше, сообщила главный внештатный гериатр Минздрава РФ, директор Российского геронтологического научно-клинического центра РНИМУ имени Н.И. Пирогова, член-корреспондент РАН Ольга Ткачева.</w:t>
      </w:r>
      <w:bookmarkEnd w:id="100"/>
    </w:p>
    <w:p w14:paraId="4796D438" w14:textId="15999E41" w:rsidR="00853D80" w:rsidRPr="00BF5E04" w:rsidRDefault="00853D80" w:rsidP="00853D80">
      <w:r w:rsidRPr="00BF5E04">
        <w:t xml:space="preserve">Пресс-конференция, посвященная развитию гериатрической помощи в Российской Федерации, прошла в среду в Международном мультимедийном пресс-центре </w:t>
      </w:r>
      <w:r w:rsidR="00401C97">
        <w:t>«</w:t>
      </w:r>
      <w:r w:rsidRPr="00BF5E04">
        <w:t>Россия сегодня</w:t>
      </w:r>
      <w:r w:rsidR="00401C97">
        <w:t>»</w:t>
      </w:r>
      <w:r w:rsidRPr="00BF5E04">
        <w:t>.</w:t>
      </w:r>
    </w:p>
    <w:p w14:paraId="005846C2" w14:textId="3E5663E1" w:rsidR="00853D80" w:rsidRPr="00BF5E04" w:rsidRDefault="00401C97" w:rsidP="00853D80">
      <w:r>
        <w:t>«</w:t>
      </w:r>
      <w:r w:rsidR="00853D80" w:rsidRPr="00BF5E04">
        <w:t>Пожилой возраст это 60 плюс - это очень формально. На самом деле, на мой взгляд, конечно, этот параметр, уже этот предел должен сдвигаться вправо, потому что и пенсионные возраста уже больше 60 лет, и функциональность человека сохраняется дольше намного</w:t>
      </w:r>
      <w:r>
        <w:t>»</w:t>
      </w:r>
      <w:r w:rsidR="00853D80" w:rsidRPr="00BF5E04">
        <w:t>, - сказала Ткачева.</w:t>
      </w:r>
    </w:p>
    <w:p w14:paraId="559F2EDB" w14:textId="77777777" w:rsidR="00853D80" w:rsidRPr="00BF5E04" w:rsidRDefault="00853D80" w:rsidP="00853D80">
      <w:r w:rsidRPr="00BF5E04">
        <w:t>Она уточнила, что сегодня люди выглядят намного моложе, чем те, кто жил в 50-е годы 20 века. Это происходит не только благодаря достижениям косметологии и пластической хирургии.</w:t>
      </w:r>
    </w:p>
    <w:p w14:paraId="56D5721B" w14:textId="5178904C" w:rsidR="00853D80" w:rsidRPr="00BF5E04" w:rsidRDefault="00401C97" w:rsidP="00853D80">
      <w:r>
        <w:t>«</w:t>
      </w:r>
      <w:r w:rsidR="00853D80" w:rsidRPr="00BF5E04">
        <w:t>Другой вопрос, что возраст-ассоциированные заболевания, они никуда не деваются, и они мешают нам жить. Вот здесь вот образ жизни нужен</w:t>
      </w:r>
      <w:r>
        <w:t>»</w:t>
      </w:r>
      <w:r w:rsidR="00853D80" w:rsidRPr="00BF5E04">
        <w:t>, - заключила Ткачева.</w:t>
      </w:r>
    </w:p>
    <w:p w14:paraId="3E84D904" w14:textId="5DF2379E" w:rsidR="00853D80" w:rsidRPr="00BF5E04" w:rsidRDefault="00853D80" w:rsidP="00853D80">
      <w:hyperlink r:id="rId30" w:history="1">
        <w:r w:rsidRPr="00BF5E04">
          <w:rPr>
            <w:rStyle w:val="a3"/>
          </w:rPr>
          <w:t>https://ria.ru/20260218/rossiya-2075256996.html</w:t>
        </w:r>
      </w:hyperlink>
      <w:r w:rsidRPr="00BF5E04">
        <w:t xml:space="preserve"> </w:t>
      </w:r>
    </w:p>
    <w:p w14:paraId="5B563B2C" w14:textId="49FFD87D" w:rsidR="00D6099F" w:rsidRPr="00BF5E04" w:rsidRDefault="00D6099F" w:rsidP="00D6099F">
      <w:pPr>
        <w:pStyle w:val="2"/>
      </w:pPr>
      <w:bookmarkStart w:id="101" w:name="ф8"/>
      <w:bookmarkStart w:id="102" w:name="_Toc222380367"/>
      <w:bookmarkEnd w:id="101"/>
      <w:r w:rsidRPr="00BF5E04">
        <w:t>ТАСС, 18.02.2026, В России средняя пенсия за год выросла на 2 тыс. рублей</w:t>
      </w:r>
      <w:bookmarkEnd w:id="102"/>
    </w:p>
    <w:p w14:paraId="1628E9F8" w14:textId="77777777" w:rsidR="00D6099F" w:rsidRPr="00BF5E04" w:rsidRDefault="00D6099F" w:rsidP="001A12F0">
      <w:pPr>
        <w:pStyle w:val="3"/>
      </w:pPr>
      <w:bookmarkStart w:id="103" w:name="_Toc222380368"/>
      <w:r w:rsidRPr="00BF5E04">
        <w:t>Средний размер пенсии в России за год вырос на 2079 рублей - в январе 2026 года сумма составила более 25 тыс. рублей. Это следует из данных Соцфонда, которые изучил ТАСС.</w:t>
      </w:r>
      <w:bookmarkEnd w:id="103"/>
    </w:p>
    <w:p w14:paraId="3AA4808C" w14:textId="0E1C5161" w:rsidR="00D6099F" w:rsidRPr="00BF5E04" w:rsidRDefault="00401C97" w:rsidP="00D6099F">
      <w:r>
        <w:t>«</w:t>
      </w:r>
      <w:r w:rsidR="00D6099F" w:rsidRPr="00BF5E04">
        <w:t>Средний размер назначенных пенсий по видам пенсионного обеспечения по состоянию на 1 января 2026 года: Российская Федерация - 25 254 рубля</w:t>
      </w:r>
      <w:r>
        <w:t>»</w:t>
      </w:r>
      <w:r w:rsidR="00D6099F" w:rsidRPr="00BF5E04">
        <w:t>, - говорится в сообщении.</w:t>
      </w:r>
    </w:p>
    <w:p w14:paraId="53E45034" w14:textId="77777777" w:rsidR="00D6099F" w:rsidRPr="00BF5E04" w:rsidRDefault="00D6099F" w:rsidP="00D6099F">
      <w:r w:rsidRPr="00BF5E04">
        <w:t>Уточняется, что средний размер пенсий среди работающих пенсионеров составил в январе 2026 года 23 279 рублей, а среди неработающих - 25 678 рублей.</w:t>
      </w:r>
    </w:p>
    <w:p w14:paraId="78E5B075" w14:textId="77777777" w:rsidR="00D6099F" w:rsidRPr="00BF5E04" w:rsidRDefault="00D6099F" w:rsidP="00D6099F">
      <w:r w:rsidRPr="00BF5E04">
        <w:t>По данным за январь 2025 года, средний размер пенсий составлял 23 175 рублей, указывается в материалах.</w:t>
      </w:r>
    </w:p>
    <w:p w14:paraId="66093AD0" w14:textId="381C4F7D" w:rsidR="00D6099F" w:rsidRPr="00BF5E04" w:rsidRDefault="00D6099F" w:rsidP="00D6099F">
      <w:hyperlink r:id="rId31" w:history="1">
        <w:r w:rsidRPr="00BF5E04">
          <w:rPr>
            <w:rStyle w:val="a3"/>
          </w:rPr>
          <w:t>https://tass.ru/obschestvo/26485963</w:t>
        </w:r>
      </w:hyperlink>
      <w:r w:rsidRPr="00BF5E04">
        <w:t xml:space="preserve"> </w:t>
      </w:r>
    </w:p>
    <w:p w14:paraId="05F07087" w14:textId="77777777" w:rsidR="002247DD" w:rsidRPr="00BF5E04" w:rsidRDefault="002247DD" w:rsidP="002247DD">
      <w:pPr>
        <w:pStyle w:val="2"/>
      </w:pPr>
      <w:bookmarkStart w:id="104" w:name="_Toc222380369"/>
      <w:r w:rsidRPr="00BF5E04">
        <w:lastRenderedPageBreak/>
        <w:t>Профиль, 18.02.2026, Как за год выросла средняя пенсия в России</w:t>
      </w:r>
      <w:bookmarkEnd w:id="104"/>
    </w:p>
    <w:p w14:paraId="7419AE07" w14:textId="77777777" w:rsidR="002247DD" w:rsidRPr="00BF5E04" w:rsidRDefault="002247DD" w:rsidP="001A12F0">
      <w:pPr>
        <w:pStyle w:val="3"/>
      </w:pPr>
      <w:bookmarkStart w:id="105" w:name="_Toc222380370"/>
      <w:r w:rsidRPr="00BF5E04">
        <w:t>По данным Соцфонда, средний размер назначенных пенсий по видам пенсионного обеспечения по состоянию на 1 января 2026 года составил 25.254 руб. В январе 2025 года он был на уровне 23.175 руб.</w:t>
      </w:r>
      <w:bookmarkEnd w:id="105"/>
    </w:p>
    <w:p w14:paraId="18362B38" w14:textId="77777777" w:rsidR="002247DD" w:rsidRPr="00BF5E04" w:rsidRDefault="002247DD" w:rsidP="002247DD">
      <w:r w:rsidRPr="00BF5E04">
        <w:t>Средний размер пенсий работающих пенсионеров в январе 2026 года оказался более чем на 2000 руб. меньше, чем у неработающих. Он составил 23.279 руб. Пенсионные выплаты неработающим гражданам в среднем составили 25.678 руб.</w:t>
      </w:r>
    </w:p>
    <w:p w14:paraId="7124D3BD" w14:textId="77777777" w:rsidR="002247DD" w:rsidRPr="00BF5E04" w:rsidRDefault="002247DD" w:rsidP="002247DD">
      <w:r w:rsidRPr="00BF5E04">
        <w:t>Пенсии россиян выросли благодаря индексациям, которые проводятся ежегодно, а также ряду изменений в законодательстве. С 2025 года возобновилась индексация пенсий работающим пенсионерам, приостановленная в 2016 году. Также с 2026 года в стаж, необходимый для назначения страховой пенсии по возрасту, стали включать уход за всеми детьми до 1,5 года, а не максимум за четырьмя, как было раньше. Назначенные по старым правилам выплаты пересчитали.</w:t>
      </w:r>
    </w:p>
    <w:p w14:paraId="2CDBF60B" w14:textId="77777777" w:rsidR="002247DD" w:rsidRPr="00BF5E04" w:rsidRDefault="002247DD" w:rsidP="002247DD">
      <w:r w:rsidRPr="00BF5E04">
        <w:t>С 1 января 2026 года страховые пенсии проиндексировали на 7,6%. Как указывали в Социальном фонде РФ, повышение коснулось 38 млн человек. Это получатели всех видов страховых пенсий, включая те, которые назначаются гражданам по инвалидности и по случаю потери кормильца. В ведомстве отметили, что размер прибавки для каждого пенсионера индивидуален и зависит от суммы назначенных выплат.</w:t>
      </w:r>
    </w:p>
    <w:p w14:paraId="0D7ACB8E" w14:textId="77777777" w:rsidR="002247DD" w:rsidRPr="00BF5E04" w:rsidRDefault="002247DD" w:rsidP="002247DD">
      <w:r w:rsidRPr="00BF5E04">
        <w:t>С 1 апреля на 6,8% проиндексируют социальные пенсии. Как сообщила эксперт Президентской академии Татьяна Подольская, средний размер соцпенсии после апрельской индексации составит 16,5 тыс. руб. Реальный размер выплаты будет зависеть от вида пенсии (по возрасту, инвалидности, по потере кормильца, детям, у которых оба родителя неизвестны) и наличия региональных доплат и коэффициентов.</w:t>
      </w:r>
    </w:p>
    <w:p w14:paraId="22EA447E" w14:textId="092312CE" w:rsidR="002247DD" w:rsidRPr="00BF5E04" w:rsidRDefault="002247DD" w:rsidP="002247DD">
      <w:hyperlink r:id="rId32" w:history="1">
        <w:r w:rsidRPr="00BF5E04">
          <w:rPr>
            <w:rStyle w:val="a3"/>
          </w:rPr>
          <w:t>https://profile.ru/news/society/kak-za-god-vyrosla-srednyaya-pensiya-v-rossii-1824148/</w:t>
        </w:r>
      </w:hyperlink>
      <w:r w:rsidRPr="00BF5E04">
        <w:t xml:space="preserve"> </w:t>
      </w:r>
    </w:p>
    <w:p w14:paraId="77CBC6FE" w14:textId="77777777" w:rsidR="00393A75" w:rsidRPr="00BF5E04" w:rsidRDefault="00393A75" w:rsidP="00393A75">
      <w:pPr>
        <w:pStyle w:val="2"/>
      </w:pPr>
      <w:bookmarkStart w:id="106" w:name="_Toc222380371"/>
      <w:r w:rsidRPr="00BF5E04">
        <w:t>Busiprof.ru, 18.02.2026, Средняя пенсия неработающих россиян выросла на 2,3 тысячи рублей</w:t>
      </w:r>
      <w:bookmarkEnd w:id="106"/>
    </w:p>
    <w:p w14:paraId="5F9DE573" w14:textId="77777777" w:rsidR="00393A75" w:rsidRPr="00BF5E04" w:rsidRDefault="00393A75" w:rsidP="001A12F0">
      <w:pPr>
        <w:pStyle w:val="3"/>
      </w:pPr>
      <w:bookmarkStart w:id="107" w:name="_Toc222380372"/>
      <w:r w:rsidRPr="00BF5E04">
        <w:t>Социальный фонд России отчитался о заметном увеличении средней пенсии для неработающих граждан. За прошедший период этот показатель подрос на 2,3 тысячи рублей. Данная информация, представленная в статистических отчетах организации, является важным индикатором уровня жизни пенсионеров и эффективности проводимой пенсионной политики.</w:t>
      </w:r>
      <w:bookmarkEnd w:id="107"/>
    </w:p>
    <w:p w14:paraId="47784B43" w14:textId="77777777" w:rsidR="00393A75" w:rsidRPr="00BF5E04" w:rsidRDefault="00393A75" w:rsidP="00393A75">
      <w:r w:rsidRPr="00BF5E04">
        <w:t>Рост среднего размера пенсии, даже несмотря на продолжающуюся инфляцию, представляет собой позитивную новость для значительной части населения. Это увеличение, хотя и может показаться скромным в масштабах государства, для многих пенсионеров является существенной прибавкой к их ежемесячному бюджету. Неработающие граждане, чьи доходы в основном ограничиваются пенсионными выплатами, ощущают такие изменения наиболее остро.</w:t>
      </w:r>
    </w:p>
    <w:p w14:paraId="6CEC250D" w14:textId="77777777" w:rsidR="00393A75" w:rsidRPr="00BF5E04" w:rsidRDefault="00393A75" w:rsidP="00393A75">
      <w:r w:rsidRPr="00BF5E04">
        <w:t xml:space="preserve">Можно связать положительную динамику с ежегодной индексацией пенсий, механизм которой направлен на компенсацию роста потребительских цен. Также, помимо </w:t>
      </w:r>
      <w:r w:rsidRPr="00BF5E04">
        <w:lastRenderedPageBreak/>
        <w:t>плановых индексаций, возможно, были предприняты дополнительные меры поддержки отдельных категорий пенсионеров. Важно отметить, что средний показатель скрывает различия в размерах пенсий, которые зависят от стажа, заработка и других факторов. Тем не менее, общий тренд на рост является обнадеживающим сигналом.</w:t>
      </w:r>
    </w:p>
    <w:p w14:paraId="3A564A26" w14:textId="77777777" w:rsidR="00393A75" w:rsidRPr="00BF5E04" w:rsidRDefault="00393A75" w:rsidP="00393A75">
      <w:r w:rsidRPr="00BF5E04">
        <w:t>Помимо общей индексации, государство реализует ряд дополнительных мер, направленных на поддержку наиболее уязвимых категорий пенсионеров. Это могут быть социальные доплаты, льготы на оплату коммунальных услуг, медицинское обслуживание, транспорт и другие жизненно важные сферы. Разработка и внедрение таких программ позволяют адресно помогать тем, кто в наибольшей степени нуждается в поддержке, обеспечивая им необходимый уровень социальной защиты и комфорта. Ориентированность на индивидуальные нужды делает систему социальной поддержки более эффективной и гуманной.</w:t>
      </w:r>
    </w:p>
    <w:p w14:paraId="1B677956" w14:textId="0DC70061" w:rsidR="00393A75" w:rsidRPr="00BF5E04" w:rsidRDefault="00401C97" w:rsidP="00393A75">
      <w:r>
        <w:t>«</w:t>
      </w:r>
      <w:r w:rsidR="00393A75" w:rsidRPr="00BF5E04">
        <w:t>Увеличение среднего размера пенсии для неработающих россиян на 2,3 тысячи рублей является одним из показателей, свидетельствующих о стремлении государства обеспечить достойный уровень жизни для своих граждан, достигших пенсионного возраста</w:t>
      </w:r>
      <w:r>
        <w:t>»</w:t>
      </w:r>
      <w:r w:rsidR="00393A75" w:rsidRPr="00BF5E04">
        <w:t>, — комментирует эксперт Ставропольского филиала Президентской академии Валерий Мякишев.</w:t>
      </w:r>
    </w:p>
    <w:p w14:paraId="31E77BC6" w14:textId="3828404F" w:rsidR="005B095A" w:rsidRPr="00BF5E04" w:rsidRDefault="00393A75" w:rsidP="00393A75">
      <w:hyperlink r:id="rId33" w:history="1">
        <w:r w:rsidRPr="00BF5E04">
          <w:rPr>
            <w:rStyle w:val="a3"/>
          </w:rPr>
          <w:t>https://busiprof.ru/srednyaya-pensiya-nerabotayushhikh-rossiyan-vyrosla-n-e88fy/</w:t>
        </w:r>
      </w:hyperlink>
    </w:p>
    <w:p w14:paraId="6A6BAECB" w14:textId="77777777" w:rsidR="00222043" w:rsidRPr="00BF5E04" w:rsidRDefault="00222043" w:rsidP="00222043">
      <w:pPr>
        <w:pStyle w:val="2"/>
      </w:pPr>
      <w:bookmarkStart w:id="108" w:name="_Toc222380373"/>
      <w:r w:rsidRPr="00BF5E04">
        <w:t>Газета.ру, 18.02.2026, Стало известно, у кого из россиян в марте вырастут пенсии</w:t>
      </w:r>
      <w:bookmarkEnd w:id="108"/>
    </w:p>
    <w:p w14:paraId="401D8075" w14:textId="6A054FC8" w:rsidR="00222043" w:rsidRPr="00BF5E04" w:rsidRDefault="00222043" w:rsidP="001A12F0">
      <w:pPr>
        <w:pStyle w:val="3"/>
      </w:pPr>
      <w:bookmarkStart w:id="109" w:name="_Toc222380374"/>
      <w:r w:rsidRPr="00BF5E04">
        <w:t xml:space="preserve">Пенсии некоторых 80-летних россиян в марте вырастут на 36,9% по сравнению с декабрем и на 27,2% к январю-февралю, оценил для </w:t>
      </w:r>
      <w:r w:rsidR="00401C97">
        <w:t>«</w:t>
      </w:r>
      <w:r w:rsidRPr="00BF5E04">
        <w:t>Газеты.Ru</w:t>
      </w:r>
      <w:r w:rsidR="00401C97">
        <w:t>»</w:t>
      </w:r>
      <w:r w:rsidRPr="00BF5E04">
        <w:t xml:space="preserve"> кандидат экономических наук, доцент Финансового университета при правительстве РФ Игорь Балынин.</w:t>
      </w:r>
      <w:bookmarkEnd w:id="109"/>
    </w:p>
    <w:p w14:paraId="46D5DE39" w14:textId="71DC0DD6" w:rsidR="00222043" w:rsidRPr="00BF5E04" w:rsidRDefault="00401C97" w:rsidP="00222043">
      <w:r>
        <w:t>«</w:t>
      </w:r>
      <w:r w:rsidR="00222043" w:rsidRPr="00BF5E04">
        <w:t>Увеличение пенсий в марте 2026 года, прежде всего, затронет тех пенсионеров, кому в феврале исполнилось 80 лет.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w:t>
      </w:r>
    </w:p>
    <w:p w14:paraId="15BB02C2" w14:textId="39083C93" w:rsidR="00222043" w:rsidRPr="00BF5E04" w:rsidRDefault="00222043" w:rsidP="00222043">
      <w:r w:rsidRPr="00BF5E04">
        <w:t>Допустим, страховая пенсия по старости (включая фиксированную выплату к ней) у 80-летнего юбиляра февраля составляла в декабре 37 573 рубля. В январе сумма была увеличена на 7,6% в связи с тем, что страховые пенсии подлежат такой индексации — темпами на 2 процентных пункта выше инфляции. Соответственно, размер пенсионной выплаты в январе увеличился до 40 428,55 рубля. В феврале пенсионеру из рассматриваемого примера была перечислена такая же сумма, а в марте будет уже увеличение в связи с 80-летним юбилеем в феврале 2026 года</w:t>
      </w:r>
      <w:r w:rsidR="00401C97">
        <w:t>»</w:t>
      </w:r>
      <w:r w:rsidRPr="00BF5E04">
        <w:t>, — отметил Балынин.</w:t>
      </w:r>
    </w:p>
    <w:p w14:paraId="42657BFB" w14:textId="77777777" w:rsidR="00222043" w:rsidRPr="00BF5E04" w:rsidRDefault="00222043" w:rsidP="00222043">
      <w:r w:rsidRPr="00BF5E04">
        <w:t>По его словам, фиксированная выплата к страховой пенсии по старости с 1 января 2026 года составляет 9584,69 рубля, надбавка за уход — 1413,86 рубля. Поэтому в марте у данного пенсионера пенсия вырастет до 51 427,1 рубля.</w:t>
      </w:r>
    </w:p>
    <w:p w14:paraId="4A522C2B" w14:textId="353F77F8" w:rsidR="00222043" w:rsidRPr="00BF5E04" w:rsidRDefault="00401C97" w:rsidP="00222043">
      <w:r>
        <w:t>«</w:t>
      </w:r>
      <w:r w:rsidR="00222043" w:rsidRPr="00BF5E04">
        <w:t>То есть размер выплаты в марте 2026 года у пенсионера из рассмотренного примера будет на 36,9% выше той, что была в декабре 2025 года, и на 27,2% выше той, что была в январе-феврале 2026 года</w:t>
      </w:r>
      <w:r>
        <w:t>»</w:t>
      </w:r>
      <w:r w:rsidR="00222043" w:rsidRPr="00BF5E04">
        <w:t>, — оценил экономист.</w:t>
      </w:r>
    </w:p>
    <w:p w14:paraId="4D753B3F" w14:textId="77777777" w:rsidR="00222043" w:rsidRPr="00BF5E04" w:rsidRDefault="00222043" w:rsidP="00222043">
      <w:r w:rsidRPr="00BF5E04">
        <w:lastRenderedPageBreak/>
        <w:t>По его словам, увеличение размера пенсионных выплат пройдет автоматически, никаких заявлений подавать не нужно: у Социального фонда России есть вся необходимая информация. Балынин напомнил, что если у получателей доплат к пенсиям членов летных экипажей воздушных судов гражданской авиации и работников организаций угольной промышленности есть неучтенные данные, то в случае подачи ими соответствующего заявления до 31 марта 2026 года размер доплаты будет скорректирован с 1 мая 2026 года.</w:t>
      </w:r>
    </w:p>
    <w:p w14:paraId="256EC09F" w14:textId="77777777" w:rsidR="00222043" w:rsidRPr="00BF5E04" w:rsidRDefault="00222043" w:rsidP="00222043">
      <w:r w:rsidRPr="00BF5E04">
        <w:t>Ранее стало известно, как увеличивается пенсия у многодетных матерей.</w:t>
      </w:r>
    </w:p>
    <w:p w14:paraId="68B27EA9" w14:textId="4BD89612" w:rsidR="00222043" w:rsidRPr="00BF5E04" w:rsidRDefault="00222043" w:rsidP="00222043">
      <w:hyperlink r:id="rId34" w:history="1">
        <w:r w:rsidRPr="00BF5E04">
          <w:rPr>
            <w:rStyle w:val="a3"/>
          </w:rPr>
          <w:t>https://www.gazeta.ru/business/news/2026/02/18/27869209.shtml</w:t>
        </w:r>
      </w:hyperlink>
      <w:r w:rsidRPr="00BF5E04">
        <w:t xml:space="preserve"> </w:t>
      </w:r>
    </w:p>
    <w:p w14:paraId="422A9AAC" w14:textId="77777777" w:rsidR="0024109A" w:rsidRPr="00BF5E04" w:rsidRDefault="0024109A" w:rsidP="0024109A">
      <w:pPr>
        <w:pStyle w:val="2"/>
      </w:pPr>
      <w:bookmarkStart w:id="110" w:name="_Toc222380375"/>
      <w:r w:rsidRPr="00BF5E04">
        <w:t>Экология Севера, 18.02.2026, Пенсия сама себя не сформирует: как позаботиться о старости, пока ещё молод</w:t>
      </w:r>
      <w:bookmarkEnd w:id="110"/>
    </w:p>
    <w:p w14:paraId="777C947E" w14:textId="77777777" w:rsidR="0024109A" w:rsidRPr="00BF5E04" w:rsidRDefault="0024109A" w:rsidP="001A12F0">
      <w:pPr>
        <w:pStyle w:val="3"/>
      </w:pPr>
      <w:bookmarkStart w:id="111" w:name="_Toc222380376"/>
      <w:r w:rsidRPr="00BF5E04">
        <w:t>Пенсионное будущее формируется не за десять лет до выхода на заслуженный отдых, а с первого трудового дня. Об этом рассказал кандидат экономических наук, доцент кафедры общественных финансов Финансового университета при Правительстве РФ Игорь Балынин. По его словам, устойчивое финансовое обеспечение в старости зависит от того, насколько человек осознанно подходит к вопросу формирования пенсионных прав.</w:t>
      </w:r>
      <w:bookmarkEnd w:id="111"/>
    </w:p>
    <w:p w14:paraId="0159A814" w14:textId="77777777" w:rsidR="0024109A" w:rsidRPr="00BF5E04" w:rsidRDefault="0024109A" w:rsidP="0024109A">
      <w:r w:rsidRPr="00BF5E04">
        <w:t>Пенсия начинается сегодня</w:t>
      </w:r>
    </w:p>
    <w:p w14:paraId="6791B5F2" w14:textId="77777777" w:rsidR="0024109A" w:rsidRPr="00BF5E04" w:rsidRDefault="0024109A" w:rsidP="0024109A">
      <w:r w:rsidRPr="00BF5E04">
        <w:t>Эксперт считает ошибкой откладывать заботу о пенсии на последние годы трудовой жизни. Страховая пенсия формируется постепенно - с каждого официального дохода, с которого уплачиваются страховые взносы.</w:t>
      </w:r>
    </w:p>
    <w:p w14:paraId="5BFDE4F9" w14:textId="6402A892" w:rsidR="0024109A" w:rsidRPr="00BF5E04" w:rsidRDefault="00401C97" w:rsidP="0024109A">
      <w:r>
        <w:t>«</w:t>
      </w:r>
      <w:r w:rsidR="0024109A" w:rsidRPr="00BF5E04">
        <w:t>Нельзя откладывать решение этого вопроса на десять лет до пенсионного возраста и всегда обязательно отказываться от теневой занятости, которая, прежде всего, является незаконной, а также не обеспечивает формирование пенсионных прав</w:t>
      </w:r>
      <w:r>
        <w:t>»</w:t>
      </w:r>
      <w:r w:rsidR="0024109A" w:rsidRPr="00BF5E04">
        <w:t>, - отметил Балынин.</w:t>
      </w:r>
    </w:p>
    <w:p w14:paraId="36460484" w14:textId="77777777" w:rsidR="0024109A" w:rsidRPr="00BF5E04" w:rsidRDefault="0024109A" w:rsidP="0024109A">
      <w:r w:rsidRPr="00BF5E04">
        <w:t>Он подчеркнул, что участие в официальных трудовых отношениях напрямую влияет на размер будущих выплат. Чем выше легальная заработная плата, тем больше начисляется индивидуальных пенсионных коэффициентов, определяющих сумму страховой пенсии.</w:t>
      </w:r>
    </w:p>
    <w:p w14:paraId="3728108C" w14:textId="77777777" w:rsidR="0024109A" w:rsidRPr="00BF5E04" w:rsidRDefault="0024109A" w:rsidP="0024109A">
      <w:r w:rsidRPr="00BF5E04">
        <w:t>Дополнительные основания для начислений</w:t>
      </w:r>
    </w:p>
    <w:p w14:paraId="170FA779" w14:textId="77777777" w:rsidR="0024109A" w:rsidRPr="00BF5E04" w:rsidRDefault="0024109A" w:rsidP="0024109A">
      <w:r w:rsidRPr="00BF5E04">
        <w:t>Формирование пенсионных прав не ограничивается только трудовой деятельностью. Государство учитывает и другие периоды жизни, когда человек не работает, но выполняет социально значимые функции. Балынин напомнил, что коэффициенты начисляются, например, за уход за детьми до полутора лет, за инвалидом первой группы, ребёнком-инвалидом, пожилым человеком старше восьмидесяти лет, а также за службу по призыву и участие в добровольческих формированиях.</w:t>
      </w:r>
    </w:p>
    <w:p w14:paraId="4E9893EA" w14:textId="77777777" w:rsidR="0024109A" w:rsidRPr="00BF5E04" w:rsidRDefault="0024109A" w:rsidP="0024109A">
      <w:r w:rsidRPr="00BF5E04">
        <w:t>Эти периоды могут существенно увеличить пенсионные баллы и, соответственно, размер будущей пенсии.</w:t>
      </w:r>
    </w:p>
    <w:p w14:paraId="4E6F525F" w14:textId="77777777" w:rsidR="0024109A" w:rsidRPr="00BF5E04" w:rsidRDefault="0024109A" w:rsidP="0024109A">
      <w:r w:rsidRPr="00BF5E04">
        <w:t>Долгосрочные накопления и финансовая подушка</w:t>
      </w:r>
    </w:p>
    <w:p w14:paraId="1FB7E29A" w14:textId="77777777" w:rsidR="0024109A" w:rsidRPr="00BF5E04" w:rsidRDefault="0024109A" w:rsidP="0024109A">
      <w:r w:rsidRPr="00BF5E04">
        <w:t>По мнению эксперта, важно сочетать страховую пенсию с личными накоплениями.</w:t>
      </w:r>
    </w:p>
    <w:p w14:paraId="6C7CEA7C" w14:textId="4B85D164" w:rsidR="0024109A" w:rsidRPr="00BF5E04" w:rsidRDefault="00401C97" w:rsidP="0024109A">
      <w:r>
        <w:lastRenderedPageBreak/>
        <w:t>«</w:t>
      </w:r>
      <w:r w:rsidR="0024109A" w:rsidRPr="00BF5E04">
        <w:t>С каждого получаемого дохода лучше откладывать какую-то сумму в долгосрочную кубышку, которой можно будет распорядиться, например, при достижении пенсионного возраста. Можно использовать, например, продукты негосударственного пенсионного обеспечения, воспользоваться запущенной два года назад программой долгосрочных сбережений</w:t>
      </w:r>
      <w:r>
        <w:t>»</w:t>
      </w:r>
      <w:r w:rsidR="0024109A" w:rsidRPr="00BF5E04">
        <w:t>, - пояснил Балынин.</w:t>
      </w:r>
    </w:p>
    <w:p w14:paraId="0F3C8E43" w14:textId="77777777" w:rsidR="0024109A" w:rsidRPr="00BF5E04" w:rsidRDefault="0024109A" w:rsidP="0024109A">
      <w:r w:rsidRPr="00BF5E04">
        <w:t>Он отметил, что личные накопления становятся важным элементом финансовой устойчивости. Даже небольшие, но регулярные отчисления формируют капитал, который можно использовать в старости или передать наследникам.</w:t>
      </w:r>
    </w:p>
    <w:p w14:paraId="0A58FC80" w14:textId="0C5B0308" w:rsidR="0024109A" w:rsidRPr="00BF5E04" w:rsidRDefault="0024109A" w:rsidP="0024109A">
      <w:hyperlink r:id="rId35" w:history="1">
        <w:r w:rsidRPr="00BF5E04">
          <w:rPr>
            <w:rStyle w:val="a3"/>
          </w:rPr>
          <w:t>https://www.ecosever.ru/article/75137.html</w:t>
        </w:r>
      </w:hyperlink>
      <w:r w:rsidRPr="00BF5E04">
        <w:t xml:space="preserve"> </w:t>
      </w:r>
    </w:p>
    <w:p w14:paraId="35C25CD2" w14:textId="77777777" w:rsidR="0074658F" w:rsidRPr="00BF5E04" w:rsidRDefault="0074658F" w:rsidP="0074658F">
      <w:pPr>
        <w:pStyle w:val="2"/>
      </w:pPr>
      <w:bookmarkStart w:id="112" w:name="_Toc222380377"/>
      <w:r w:rsidRPr="00BF5E04">
        <w:t>Аргументы.ру, 18.02.2026, В какой стране самые богатые пенсионеры</w:t>
      </w:r>
      <w:bookmarkEnd w:id="112"/>
    </w:p>
    <w:p w14:paraId="7C6FA1CD" w14:textId="77777777" w:rsidR="0074658F" w:rsidRPr="00BF5E04" w:rsidRDefault="0074658F" w:rsidP="001A12F0">
      <w:pPr>
        <w:pStyle w:val="3"/>
      </w:pPr>
      <w:bookmarkStart w:id="113" w:name="_Toc222380378"/>
      <w:r w:rsidRPr="00BF5E04">
        <w:t>Демографические изменения, связанные с увеличением доли пожилых людей в обществе, и дефицит пенсионных фондов вынуждают страны увеличивать пенсионный возраст, однако ожидаемого эффекта это часто не даёт. Пенсионные преобразования в России и Франции сформировали устойчивые риски в социальной, финансовой и экономической сферах.</w:t>
      </w:r>
      <w:bookmarkEnd w:id="113"/>
    </w:p>
    <w:p w14:paraId="619F3A8B" w14:textId="77777777" w:rsidR="0074658F" w:rsidRPr="00BF5E04" w:rsidRDefault="0074658F" w:rsidP="0074658F">
      <w:r w:rsidRPr="00BF5E04">
        <w:t>После повышения пенсионного возраста в 2018 году в РФ темпы роста пенсий оказались ниже динамики заработных плат и ВВП, несмотря на сокращение числа пенсионеров. Существенная часть пожилых граждан получает доплаты до прожиточного минимума, а сама система не стимулирует ни работников, ни работодателей. Власти ограничиваются индексациями, которые лишь частично компенсируют рост цен, не меняя конструкцию системы.</w:t>
      </w:r>
    </w:p>
    <w:p w14:paraId="3495D71D" w14:textId="77777777" w:rsidR="0074658F" w:rsidRPr="00BF5E04" w:rsidRDefault="0074658F" w:rsidP="0074658F">
      <w:r w:rsidRPr="00BF5E04">
        <w:t>Во Франции ситуация обратная: пенсии доведены до уровня, превышающего среднюю зарплату, что на фоне старения населения усиливает нагрузку на бюджет и делает систему неустойчивой.</w:t>
      </w:r>
    </w:p>
    <w:p w14:paraId="736A4D99" w14:textId="77777777" w:rsidR="0074658F" w:rsidRPr="00BF5E04" w:rsidRDefault="0074658F" w:rsidP="0074658F">
      <w:r w:rsidRPr="00BF5E04">
        <w:t>Обе модели показывают, что пенсионные реформы без структурных изменений либо ведут к обнищанию пенсионеров, либо закладывают основу для будущего финансового кризиса.</w:t>
      </w:r>
    </w:p>
    <w:p w14:paraId="44FB7378" w14:textId="1FAC6D6B" w:rsidR="00393A75" w:rsidRPr="00BF5E04" w:rsidRDefault="0074658F" w:rsidP="0074658F">
      <w:hyperlink r:id="rId36" w:history="1">
        <w:r w:rsidRPr="00BF5E04">
          <w:rPr>
            <w:rStyle w:val="a3"/>
          </w:rPr>
          <w:t>https://argumenti.ru/society/2026/02/987192</w:t>
        </w:r>
      </w:hyperlink>
    </w:p>
    <w:p w14:paraId="1F03A000" w14:textId="65AE9477" w:rsidR="003425BB" w:rsidRPr="00BF5E04" w:rsidRDefault="003425BB" w:rsidP="003425BB">
      <w:pPr>
        <w:pStyle w:val="2"/>
      </w:pPr>
      <w:bookmarkStart w:id="114" w:name="_Toc222380379"/>
      <w:r w:rsidRPr="00BF5E04">
        <w:t>PRIMPRESS, 18.02.2026, Почему пенсионерам, которые владеют жильем, придется платить больше</w:t>
      </w:r>
      <w:bookmarkEnd w:id="114"/>
    </w:p>
    <w:p w14:paraId="691DEDD9" w14:textId="77777777" w:rsidR="003425BB" w:rsidRPr="00BF5E04" w:rsidRDefault="003425BB" w:rsidP="001A12F0">
      <w:pPr>
        <w:pStyle w:val="3"/>
      </w:pPr>
      <w:bookmarkStart w:id="115" w:name="_Toc222380380"/>
      <w:r w:rsidRPr="00BF5E04">
        <w:t>Даже с учётом льгот пенсионеры всё чаще сталкиваются с ростом расходов на квартиру и дом. Причина не только в коммунальных тарифах: меняется порядок расчёта налогов, взносов и оплаты услуг, а владение недвижимостью становится всё более затратным.</w:t>
      </w:r>
      <w:bookmarkEnd w:id="115"/>
    </w:p>
    <w:p w14:paraId="3C3A9378" w14:textId="77777777" w:rsidR="003425BB" w:rsidRPr="00BF5E04" w:rsidRDefault="003425BB" w:rsidP="003425BB">
      <w:r w:rsidRPr="00BF5E04">
        <w:t>Налог на имущество: растущие кадастровые оценки</w:t>
      </w:r>
    </w:p>
    <w:p w14:paraId="2E38432D" w14:textId="77777777" w:rsidR="003425BB" w:rsidRPr="00BF5E04" w:rsidRDefault="003425BB" w:rsidP="003425BB">
      <w:r w:rsidRPr="00BF5E04">
        <w:t>Почти во всех регионах база для налога на имущество — кадастровая стоимость, приближенная к рыночной. Даже при неизменной ставке рост кадастровой оценки ведёт к увеличению суммы налога.</w:t>
      </w:r>
    </w:p>
    <w:p w14:paraId="3F75F45B" w14:textId="3232FAE3" w:rsidR="003425BB" w:rsidRPr="00BF5E04" w:rsidRDefault="003425BB" w:rsidP="003425BB">
      <w:r w:rsidRPr="00BF5E04">
        <w:lastRenderedPageBreak/>
        <w:t xml:space="preserve">У пенсионеров сохраняется федеральная льгота — освобождение от налога на один объект каждого вида (квартира, дом, гараж и т.д.). Но если в собственности несколько квартир или, например, квартира и апартаменты, за </w:t>
      </w:r>
      <w:r w:rsidR="00401C97">
        <w:t>«</w:t>
      </w:r>
      <w:r w:rsidRPr="00BF5E04">
        <w:t>лишние</w:t>
      </w:r>
      <w:r w:rsidR="00401C97">
        <w:t>»</w:t>
      </w:r>
      <w:r w:rsidRPr="00BF5E04">
        <w:t xml:space="preserve"> объекты платить придётся в полном объёме. Чем больше имущества, тем заметнее нагрузка, даже при небольших ставках.</w:t>
      </w:r>
    </w:p>
    <w:p w14:paraId="2B2C2D30" w14:textId="77777777" w:rsidR="003425BB" w:rsidRPr="00BF5E04" w:rsidRDefault="003425BB" w:rsidP="003425BB">
      <w:r w:rsidRPr="00BF5E04">
        <w:t>Взносы на капремонт: освобождение только по одному адресу</w:t>
      </w:r>
    </w:p>
    <w:p w14:paraId="58CE5404" w14:textId="77777777" w:rsidR="003425BB" w:rsidRPr="00BF5E04" w:rsidRDefault="003425BB" w:rsidP="003425BB">
      <w:r w:rsidRPr="00BF5E04">
        <w:t>Взносы на капитальный ремонт — ещё одна статья регулярных расходов. В ряде регионов неработающие пенсионеры старше определённого возраста (60/70 лет и старше) могут быть освобождены от уплаты или получать компенсацию. Но такая льгота, как правило, действует только в отношении одного жилого помещения, где пенсионер прописан и фактически проживает.</w:t>
      </w:r>
    </w:p>
    <w:p w14:paraId="7E7A0586" w14:textId="0F115C51" w:rsidR="003425BB" w:rsidRPr="00BF5E04" w:rsidRDefault="003425BB" w:rsidP="003425BB">
      <w:r w:rsidRPr="00BF5E04">
        <w:t xml:space="preserve">Если у пенсионера есть в собственности вторая квартира (даже если там живут дети или жильё сдаётся), взносы на капремонт по этому объекту придётся оплачивать полностью. При росте минимального взноса и увеличении числа </w:t>
      </w:r>
      <w:r w:rsidR="00401C97">
        <w:t>«</w:t>
      </w:r>
      <w:r w:rsidRPr="00BF5E04">
        <w:t>лишних</w:t>
      </w:r>
      <w:r w:rsidR="00401C97">
        <w:t>»</w:t>
      </w:r>
      <w:r w:rsidRPr="00BF5E04">
        <w:t xml:space="preserve"> квадратных метров сумма становится заметной.</w:t>
      </w:r>
    </w:p>
    <w:p w14:paraId="2A32F159" w14:textId="77A7305C" w:rsidR="003425BB" w:rsidRPr="00BF5E04" w:rsidRDefault="003425BB" w:rsidP="003425BB">
      <w:r w:rsidRPr="00BF5E04">
        <w:t xml:space="preserve">ЖКХ и </w:t>
      </w:r>
      <w:r w:rsidR="00401C97">
        <w:t>«</w:t>
      </w:r>
      <w:r w:rsidRPr="00BF5E04">
        <w:t>лишние</w:t>
      </w:r>
      <w:r w:rsidR="00401C97">
        <w:t>»</w:t>
      </w:r>
      <w:r w:rsidRPr="00BF5E04">
        <w:t xml:space="preserve"> квадратные метры</w:t>
      </w:r>
    </w:p>
    <w:p w14:paraId="7F61ACFC" w14:textId="77777777" w:rsidR="003425BB" w:rsidRPr="00BF5E04" w:rsidRDefault="003425BB" w:rsidP="003425BB">
      <w:r w:rsidRPr="00BF5E04">
        <w:t>Коммунальные платежи не зависят от возраста собственника: тарифы едины для всех. При этом часть расходов (отопление, содержание общего имущества) считается от площади, а не от числа проживающих. Чем больше квартира или дом, тем выше платежи.</w:t>
      </w:r>
    </w:p>
    <w:p w14:paraId="61362E97" w14:textId="2BAF2688" w:rsidR="003425BB" w:rsidRPr="00BF5E04" w:rsidRDefault="003425BB" w:rsidP="003425BB">
      <w:r w:rsidRPr="00BF5E04">
        <w:t xml:space="preserve">Если раньше большая </w:t>
      </w:r>
      <w:r w:rsidR="00401C97">
        <w:t>«</w:t>
      </w:r>
      <w:r w:rsidRPr="00BF5E04">
        <w:t>советская</w:t>
      </w:r>
      <w:r w:rsidR="00401C97">
        <w:t>»</w:t>
      </w:r>
      <w:r w:rsidRPr="00BF5E04">
        <w:t xml:space="preserve"> квартира была благом, то сейчас для пожилого собственника это зачастую высокий ежемесячный чек за отопление, содержание лифта, уборку и т.п. Льготы на оплату ЖКУ, даже при их наличии, обычно покрывают только часть начислений или действуют в пределах социального норматива площади.</w:t>
      </w:r>
    </w:p>
    <w:p w14:paraId="1F6A89E2" w14:textId="01002A34" w:rsidR="0074658F" w:rsidRPr="00BF5E04" w:rsidRDefault="003425BB" w:rsidP="003425BB">
      <w:hyperlink r:id="rId37" w:history="1">
        <w:r w:rsidRPr="00BF5E04">
          <w:rPr>
            <w:rStyle w:val="a3"/>
          </w:rPr>
          <w:t>https://primpress.ru/article/131808</w:t>
        </w:r>
      </w:hyperlink>
    </w:p>
    <w:p w14:paraId="50FFCFB3" w14:textId="77777777" w:rsidR="003425BB" w:rsidRPr="00BF5E04" w:rsidRDefault="003425BB" w:rsidP="003425BB">
      <w:pPr>
        <w:pStyle w:val="2"/>
      </w:pPr>
      <w:bookmarkStart w:id="116" w:name="_Toc222380381"/>
      <w:r w:rsidRPr="00BF5E04">
        <w:t>PRIMPRESS, 18.02.2026, Что с марта будет с пенсионерами, которые прописаны в квартире с детьми</w:t>
      </w:r>
      <w:bookmarkEnd w:id="116"/>
    </w:p>
    <w:p w14:paraId="00CFED6F" w14:textId="5D4148A6" w:rsidR="003425BB" w:rsidRPr="00BF5E04" w:rsidRDefault="003425BB" w:rsidP="001A12F0">
      <w:pPr>
        <w:pStyle w:val="3"/>
      </w:pPr>
      <w:bookmarkStart w:id="117" w:name="_Toc222380382"/>
      <w:r w:rsidRPr="00BF5E04">
        <w:t xml:space="preserve">С началом весны для семей, где в одной квартире зарегистрированы пенсионеры и дети, могут измениться порядок начисления льгот и оплаты коммунальных услуг. Важно понимать, как совместная регистрация влияет на субсидии, компенсации и </w:t>
      </w:r>
      <w:r w:rsidR="00401C97">
        <w:t>«</w:t>
      </w:r>
      <w:r w:rsidRPr="00BF5E04">
        <w:t>коммуналку</w:t>
      </w:r>
      <w:r w:rsidR="00401C97">
        <w:t>»</w:t>
      </w:r>
      <w:r w:rsidRPr="00BF5E04">
        <w:t>.</w:t>
      </w:r>
      <w:bookmarkEnd w:id="117"/>
    </w:p>
    <w:p w14:paraId="43D461EA" w14:textId="77777777" w:rsidR="003425BB" w:rsidRPr="00BF5E04" w:rsidRDefault="003425BB" w:rsidP="003425BB">
      <w:r w:rsidRPr="00BF5E04">
        <w:t>Льготы и субсидии: будут смотреть на состав семьи и доходы</w:t>
      </w:r>
    </w:p>
    <w:p w14:paraId="45BD1664" w14:textId="5364E442" w:rsidR="003425BB" w:rsidRPr="00BF5E04" w:rsidRDefault="003425BB" w:rsidP="003425BB">
      <w:r w:rsidRPr="00BF5E04">
        <w:t xml:space="preserve">При назначении субсидий и компенсаций по оплате ЖКУ всё чаще учитывается не только статус пенсионера, но и общий состав зарегистрированных в квартире, а также суммарный доход семьи. Если с пожилым человеком прописаны работающие дети или внуки, совокупный доход может </w:t>
      </w:r>
      <w:r w:rsidR="00401C97">
        <w:t>«</w:t>
      </w:r>
      <w:r w:rsidRPr="00BF5E04">
        <w:t>перевесить</w:t>
      </w:r>
      <w:r w:rsidR="00401C97">
        <w:t>»</w:t>
      </w:r>
      <w:r w:rsidRPr="00BF5E04">
        <w:t xml:space="preserve"> и лишить квартиру права на субсидию.</w:t>
      </w:r>
    </w:p>
    <w:p w14:paraId="0210CB1B" w14:textId="77777777" w:rsidR="003425BB" w:rsidRPr="00BF5E04" w:rsidRDefault="003425BB" w:rsidP="003425BB">
      <w:r w:rsidRPr="00BF5E04">
        <w:t>С другой стороны, наличие несовершеннолетних детей и неработающих пенсионеров в одном домохозяйстве может учитываться при расчёте социальной поддержки. В ряде регионов вводятся дополнительные меры для семей, где на одного работающего приходится несколько иждивенцев.</w:t>
      </w:r>
    </w:p>
    <w:p w14:paraId="594C76F1" w14:textId="77777777" w:rsidR="003425BB" w:rsidRPr="00BF5E04" w:rsidRDefault="003425BB" w:rsidP="003425BB">
      <w:r w:rsidRPr="00BF5E04">
        <w:t>Коммунальные начисления и нормы потребления</w:t>
      </w:r>
    </w:p>
    <w:p w14:paraId="657BD4DE" w14:textId="7911D2FC" w:rsidR="003425BB" w:rsidRPr="00BF5E04" w:rsidRDefault="003425BB" w:rsidP="003425BB">
      <w:r w:rsidRPr="00BF5E04">
        <w:lastRenderedPageBreak/>
        <w:t xml:space="preserve">По-прежнему действует принцип: если нет индивидуальных счётчиков, плата за часть услуг (вода, водоотведение, иногда вывоз мусора) рассчитывается исходя из числа зарегистрированных. Прописка пенсионера и детей в одной квартире автоматически увеличивает </w:t>
      </w:r>
      <w:r w:rsidR="00401C97">
        <w:t>«</w:t>
      </w:r>
      <w:r w:rsidRPr="00BF5E04">
        <w:t>нормативное</w:t>
      </w:r>
      <w:r w:rsidR="00401C97">
        <w:t>»</w:t>
      </w:r>
      <w:r w:rsidRPr="00BF5E04">
        <w:t xml:space="preserve"> потребление, даже если кто-то фактически живёт по другому адресу.</w:t>
      </w:r>
    </w:p>
    <w:p w14:paraId="5AA226E8" w14:textId="7EB759FB" w:rsidR="003425BB" w:rsidRPr="00BF5E04" w:rsidRDefault="003425BB" w:rsidP="003425BB">
      <w:r w:rsidRPr="00BF5E04">
        <w:t xml:space="preserve">С марта в отдельных регионах могут уточняться нормы потребления и подходы к перерасчётам при временном отсутствии. Это значит, что фиктивная регистрация </w:t>
      </w:r>
      <w:r w:rsidR="00401C97">
        <w:t>«</w:t>
      </w:r>
      <w:r w:rsidRPr="00BF5E04">
        <w:t>для льгот</w:t>
      </w:r>
      <w:r w:rsidR="00401C97">
        <w:t>»</w:t>
      </w:r>
      <w:r w:rsidRPr="00BF5E04">
        <w:t>, когда человек реально не проживает, становится всё менее безопасной: управляющие компании и соцорганы активнее сопоставляют данные.</w:t>
      </w:r>
    </w:p>
    <w:p w14:paraId="19BB7F74" w14:textId="77777777" w:rsidR="003425BB" w:rsidRPr="00BF5E04" w:rsidRDefault="003425BB" w:rsidP="003425BB">
      <w:r w:rsidRPr="00BF5E04">
        <w:t>Налог на имущество и статус единственного жилья</w:t>
      </w:r>
    </w:p>
    <w:p w14:paraId="49155191" w14:textId="77777777" w:rsidR="003425BB" w:rsidRPr="00BF5E04" w:rsidRDefault="003425BB" w:rsidP="003425BB">
      <w:r w:rsidRPr="00BF5E04">
        <w:t>Совместная регистрация сама по себе не меняет налог на квартиру, но влияет статус жилья для пенсионера. Налоговая льгота в виде освобождения от налога на один объект каждого вида (квартира, дом, гараж) привязана к собственности, а не прописке.</w:t>
      </w:r>
    </w:p>
    <w:p w14:paraId="51E70C01" w14:textId="1DF65E65" w:rsidR="003425BB" w:rsidRPr="00BF5E04" w:rsidRDefault="003425BB" w:rsidP="003425BB">
      <w:r w:rsidRPr="00BF5E04">
        <w:t xml:space="preserve">Однако если пожилой человек владеет квартирой, в которой прописаны и он, и дети, важно правильно оформить статус </w:t>
      </w:r>
      <w:r w:rsidR="00401C97">
        <w:t>«</w:t>
      </w:r>
      <w:r w:rsidRPr="00BF5E04">
        <w:t>единственного жилья</w:t>
      </w:r>
      <w:r w:rsidR="00401C97">
        <w:t>»</w:t>
      </w:r>
      <w:r w:rsidRPr="00BF5E04">
        <w:t>, чтобы не потерять преференции. При появлении у членов семьи других объектов (например, отдельной квартиры у ребёнка) налоговая нагрузка на семью в целом может увеличиться.</w:t>
      </w:r>
    </w:p>
    <w:p w14:paraId="3BFAD876" w14:textId="1FAC5D4C" w:rsidR="003425BB" w:rsidRPr="00BF5E04" w:rsidRDefault="003425BB" w:rsidP="003425BB">
      <w:hyperlink r:id="rId38" w:history="1">
        <w:r w:rsidRPr="00BF5E04">
          <w:rPr>
            <w:rStyle w:val="a3"/>
          </w:rPr>
          <w:t>https://primpress.ru/article/131807</w:t>
        </w:r>
      </w:hyperlink>
    </w:p>
    <w:p w14:paraId="127D4B28" w14:textId="77777777" w:rsidR="00DE1685" w:rsidRPr="00BF5E04" w:rsidRDefault="00DE1685" w:rsidP="00DE1685">
      <w:pPr>
        <w:pStyle w:val="2"/>
      </w:pPr>
      <w:bookmarkStart w:id="118" w:name="_Toc222380383"/>
      <w:r w:rsidRPr="00BF5E04">
        <w:t>Царьград, 18.02.2026, Зюганов предложил вернуть пенсии в 55 и 60 лет</w:t>
      </w:r>
      <w:bookmarkEnd w:id="118"/>
    </w:p>
    <w:p w14:paraId="6BB8FFFE" w14:textId="77777777" w:rsidR="00DE1685" w:rsidRPr="00BF5E04" w:rsidRDefault="00DE1685" w:rsidP="001A12F0">
      <w:pPr>
        <w:pStyle w:val="3"/>
      </w:pPr>
      <w:bookmarkStart w:id="119" w:name="_Toc222380384"/>
      <w:r w:rsidRPr="00BF5E04">
        <w:t>Группа депутатов от фракции КПРФ под руководством председателя партии Геннадия Зюганова в феврале 2026 года инициировала рассмотрение законопроекта о восстановлении прежних значений пенсионного возраста. Согласно документу, предлагается установить планку в 60 лет для мужчин и 55 лет для женщин.</w:t>
      </w:r>
      <w:bookmarkEnd w:id="119"/>
    </w:p>
    <w:p w14:paraId="33419189" w14:textId="77777777" w:rsidR="00DE1685" w:rsidRPr="00BF5E04" w:rsidRDefault="00DE1685" w:rsidP="00DE1685">
      <w:r w:rsidRPr="00BF5E04">
        <w:t>Авторы законодательной инициативы характеризуют проведённую ранее реформу с повышением возраста выхода на пенсию как не оправдавшую ожиданий. По их мнению, её последствия оказали негативное влияние на демографические показатели, включая продолжительность жизни граждан.</w:t>
      </w:r>
    </w:p>
    <w:p w14:paraId="7578FBB9" w14:textId="77777777" w:rsidR="00DE1685" w:rsidRPr="00BF5E04" w:rsidRDefault="00DE1685" w:rsidP="00DE1685">
      <w:r w:rsidRPr="00BF5E04">
        <w:t>Экономические аспекты потенциального возврата к прежним нормативам прокомментировал Олег Николаев, эксперт Института экономики роста имени П.А. Столыпина. Специалист указал на конкретные бюджетные последствия подобного шага.</w:t>
      </w:r>
    </w:p>
    <w:p w14:paraId="3D5DE8EF" w14:textId="04BDCFE9" w:rsidR="00DE1685" w:rsidRPr="00BF5E04" w:rsidRDefault="00401C97" w:rsidP="00DE1685">
      <w:r>
        <w:t>«</w:t>
      </w:r>
      <w:r w:rsidR="00DE1685" w:rsidRPr="00BF5E04">
        <w:t>В рамках пенсионной реформы, которая продлится до 2028 года, пенсионный возраст повышается постепенно, увеличиваясь на 12 месяцев каждые два года. В 2024 году возраст выхода на пенсию по старости составлял 58 лет для женщин и 63 года для мужчин. В 2026-м, соответственно, на пенсию смогут выйти 59-летние женщины и 64-летние мужчины. К 2028 году будет достигнут запланированный уровень в 60 и 65 лет соответственно. Если предположить, что пенсионный возраст откатили обратно, это означает, что нужно выплачивать пенсии по старости всем женщинам от 55 до 58 лет и мужчинам от 60 до 63</w:t>
      </w:r>
      <w:r>
        <w:t>»</w:t>
      </w:r>
      <w:r w:rsidR="00DE1685" w:rsidRPr="00BF5E04">
        <w:t>, - пояснил он.</w:t>
      </w:r>
    </w:p>
    <w:p w14:paraId="56BDF50F" w14:textId="77777777" w:rsidR="00DE1685" w:rsidRPr="00BF5E04" w:rsidRDefault="00DE1685" w:rsidP="00DE1685">
      <w:r w:rsidRPr="00BF5E04">
        <w:lastRenderedPageBreak/>
        <w:t>Для оценки масштаба потенциальных выплат экономист привёл статистические данные. Со ссылкой на информацию Росстата он уточнил, что по состоянию на 2023 год в России проживало 10,369 миллиона человек в возрасте от 60 до 64 лет и 8,988 миллиона граждан в возрасте от 55 до 59 лет.</w:t>
      </w:r>
    </w:p>
    <w:p w14:paraId="506F314A" w14:textId="77777777" w:rsidR="00DE1685" w:rsidRPr="00BF5E04" w:rsidRDefault="00DE1685" w:rsidP="00DE1685">
      <w:r w:rsidRPr="00BF5E04">
        <w:t>На основе этих цифр Олег Николаев предположил, что при реализации законопроекта выплаты пенсий по старости потребуется обеспечить приблизительно 7 миллионам человек. При расчёте, исходя из среднего размера пенсии, превышающего 25 тысяч рублей в месяц, годовой объём дополнительных расходов может составить около 2,1 триллиона рублей.</w:t>
      </w:r>
    </w:p>
    <w:p w14:paraId="54C2D2DA" w14:textId="4E3B9A54" w:rsidR="00DE1685" w:rsidRPr="00BF5E04" w:rsidRDefault="00401C97" w:rsidP="00DE1685">
      <w:r>
        <w:t>«</w:t>
      </w:r>
      <w:r w:rsidR="00DE1685" w:rsidRPr="00BF5E04">
        <w:t>Это при том, что суммарные доходы Соцфонда по обязательному пенсионному страхованию за 2025 год составили 10,45 триллиона рублей. И еще для сравнения - запланированный дефицит федерального бюджета на 2026 год - 3,79 триллиона рублей. Короче говоря, математика побеждает абстрактное человеколюбие</w:t>
      </w:r>
      <w:r>
        <w:t>»</w:t>
      </w:r>
      <w:r w:rsidR="00DE1685" w:rsidRPr="00BF5E04">
        <w:t>, - подчеркнул он.</w:t>
      </w:r>
    </w:p>
    <w:p w14:paraId="511FCF69" w14:textId="77777777" w:rsidR="00DE1685" w:rsidRPr="00BF5E04" w:rsidRDefault="00DE1685" w:rsidP="00DE1685">
      <w:r w:rsidRPr="00BF5E04">
        <w:t>В заключение эксперт обратил внимание на фундаментальные изменения в демографической структуре общества, произошедшие за последние десятилетия. По мнению Николаева, это делает невозможным применение прежних подходов к пенсионному обеспечению, которые были установлены в 1932 году в совершенно иных условиях, когда доля молодого населения значительно превышала число пожилых граждан.</w:t>
      </w:r>
    </w:p>
    <w:p w14:paraId="76F6AE93" w14:textId="33103043" w:rsidR="003425BB" w:rsidRPr="00BF5E04" w:rsidRDefault="00DE1685" w:rsidP="00DE1685">
      <w:hyperlink r:id="rId39" w:history="1">
        <w:r w:rsidRPr="00BF5E04">
          <w:rPr>
            <w:rStyle w:val="a3"/>
          </w:rPr>
          <w:t>https://ug.tsargrad.tv/news/zjuganov-predlozhil-vernut-pensii-v-55-i-60-let_1561460</w:t>
        </w:r>
      </w:hyperlink>
    </w:p>
    <w:p w14:paraId="0E01C273" w14:textId="77777777" w:rsidR="00DE1685" w:rsidRPr="00BF5E04" w:rsidRDefault="00DE1685" w:rsidP="00DE1685"/>
    <w:p w14:paraId="4A71D91B" w14:textId="77777777" w:rsidR="00111D7C" w:rsidRPr="00BF5E04" w:rsidRDefault="00111D7C" w:rsidP="00111D7C">
      <w:pPr>
        <w:pStyle w:val="10"/>
      </w:pPr>
      <w:bookmarkStart w:id="120" w:name="_Toc99318655"/>
      <w:bookmarkStart w:id="121" w:name="_Toc165991075"/>
      <w:bookmarkStart w:id="122" w:name="_Toc222380385"/>
      <w:r w:rsidRPr="00BF5E04">
        <w:t>Региональные СМИ</w:t>
      </w:r>
      <w:bookmarkEnd w:id="52"/>
      <w:bookmarkEnd w:id="120"/>
      <w:bookmarkEnd w:id="121"/>
      <w:bookmarkEnd w:id="122"/>
    </w:p>
    <w:p w14:paraId="1F5E4424" w14:textId="77777777" w:rsidR="00163E93" w:rsidRPr="00BF5E04" w:rsidRDefault="00163E93" w:rsidP="00163E93">
      <w:pPr>
        <w:pStyle w:val="2"/>
      </w:pPr>
      <w:bookmarkStart w:id="123" w:name="_Toc222380386"/>
      <w:r w:rsidRPr="00BF5E04">
        <w:t>Юга.ру, 18.02.2026, В Госдуме признали, что пенсионная реформа провалилась</w:t>
      </w:r>
      <w:bookmarkEnd w:id="123"/>
    </w:p>
    <w:p w14:paraId="7E68EAE5" w14:textId="77777777" w:rsidR="00163E93" w:rsidRPr="00BF5E04" w:rsidRDefault="00163E93" w:rsidP="001A12F0">
      <w:pPr>
        <w:pStyle w:val="3"/>
      </w:pPr>
      <w:bookmarkStart w:id="124" w:name="_Toc222380387"/>
      <w:r w:rsidRPr="00BF5E04">
        <w:t>16 февраля доктор экономических наук, профессор и депутат Госдумы Оксана Дмитриева опубликовала пост в своем телеграм-канале. В тексте она заявила, что реализованная с 2019 года реформа по повышению пенсионного возраста не дала ожидаемого эффекта.</w:t>
      </w:r>
      <w:bookmarkEnd w:id="124"/>
    </w:p>
    <w:p w14:paraId="1A0860E2" w14:textId="77777777" w:rsidR="00163E93" w:rsidRPr="00BF5E04" w:rsidRDefault="00163E93" w:rsidP="00163E93">
      <w:r w:rsidRPr="00BF5E04">
        <w:t>Власти заявляли, что ее результатом станет увеличение выплат. Но на деле все вышло наоборот.</w:t>
      </w:r>
    </w:p>
    <w:p w14:paraId="4E798429" w14:textId="77777777" w:rsidR="00163E93" w:rsidRPr="00BF5E04" w:rsidRDefault="00163E93" w:rsidP="00163E93">
      <w:r w:rsidRPr="00BF5E04">
        <w:t>По данным Дмитриевой, с 2019 года пенсионеров стало меньше (частично из-за реформы, частично из-за смертей от ковида — примерно на 5 млн человек). Однако темп роста средней выплаты отставал от роста номинального объема ВВП и зарплаты, несмотря на снижение количества пожилых людей.</w:t>
      </w:r>
    </w:p>
    <w:p w14:paraId="26CFEC5E" w14:textId="77777777" w:rsidR="00163E93" w:rsidRPr="00BF5E04" w:rsidRDefault="00163E93" w:rsidP="00163E93">
      <w:r w:rsidRPr="00BF5E04">
        <w:t>С 2019 по 2024 год средняя пенсия выросла в 1,48 раза, а средняя зарплата — в 1,86 раза. То есть пенсионеры стали получать меньше по сравнению с теми, кто трудится.</w:t>
      </w:r>
    </w:p>
    <w:p w14:paraId="11AB92F7" w14:textId="77777777" w:rsidR="00163E93" w:rsidRPr="00BF5E04" w:rsidRDefault="00163E93" w:rsidP="00163E93">
      <w:r w:rsidRPr="00BF5E04">
        <w:t xml:space="preserve">Но самое печальное — последствия для семей. Раньше бабушки и дедушки сидели с внуками, пока молодые родители работали. Это помогало семьям встать на ноги и </w:t>
      </w:r>
      <w:r w:rsidRPr="00BF5E04">
        <w:lastRenderedPageBreak/>
        <w:t>решаться на второго или третьего ребенка. Теперь же пожилые люди вынуждены трудиться, и сидеть с внуками им некогда.</w:t>
      </w:r>
    </w:p>
    <w:p w14:paraId="7E31C5C6" w14:textId="77777777" w:rsidR="00163E93" w:rsidRPr="00BF5E04" w:rsidRDefault="00163E93" w:rsidP="00163E93">
      <w:r w:rsidRPr="00BF5E04">
        <w:t>Дмитриева считает, что экономия на пенсиях привела к дополнительным расходам государства — появились различные формы социальной поддержки.</w:t>
      </w:r>
    </w:p>
    <w:p w14:paraId="567D3809" w14:textId="0E529175" w:rsidR="00163E93" w:rsidRPr="00BF5E04" w:rsidRDefault="00401C97" w:rsidP="00163E93">
      <w:r>
        <w:t>«</w:t>
      </w:r>
      <w:r w:rsidR="00163E93" w:rsidRPr="00BF5E04">
        <w:t xml:space="preserve">Вместо своей бабушки теперь </w:t>
      </w:r>
      <w:r>
        <w:t>«</w:t>
      </w:r>
      <w:r w:rsidR="00163E93" w:rsidRPr="00BF5E04">
        <w:t>бабушка на час</w:t>
      </w:r>
      <w:r>
        <w:t>»</w:t>
      </w:r>
      <w:r w:rsidR="00163E93" w:rsidRPr="00BF5E04">
        <w:t>. Очень возросла потребность в ясельных группах детских садов. Появились дополнительные расходы на обеспечение полного дня в школе, потому что до прихода родителей дети должны быть под присмотром взрослых</w:t>
      </w:r>
      <w:r>
        <w:t>»</w:t>
      </w:r>
      <w:r w:rsidR="00163E93" w:rsidRPr="00BF5E04">
        <w:t>, — подытожила Оксана Дмитриева.</w:t>
      </w:r>
    </w:p>
    <w:p w14:paraId="1CDB9BE5" w14:textId="77777777" w:rsidR="00163E93" w:rsidRPr="00BF5E04" w:rsidRDefault="00163E93" w:rsidP="00163E93">
      <w:r w:rsidRPr="00BF5E04">
        <w:t>Пенсионная реформа 2019-2028 годов предусматривает постепенный подъем пенсионного возраста от 55 до 60 лет для женщин и от 60 до 65 лет для мужчин, а возраста начала выплаты социальной пенсии — от 60 до 65 и от 65 до 70 лет соответственно. Планируется, что это позволит перенаправить высвобождающиеся средства на увеличение выплат в среднем на 1000 рублей в месяц ежегодно.</w:t>
      </w:r>
    </w:p>
    <w:p w14:paraId="2FF865E0" w14:textId="77777777" w:rsidR="00163E93" w:rsidRPr="00BF5E04" w:rsidRDefault="00163E93" w:rsidP="00163E93">
      <w:r w:rsidRPr="00BF5E04">
        <w:t>Как писали Юга.ру, в ноябре 2025 года в Госдуме предложили россиянам выходить на пенсию на 10 лет позже, чтобы увеличить ее размер.</w:t>
      </w:r>
    </w:p>
    <w:p w14:paraId="5158A834" w14:textId="6C5B05B5" w:rsidR="00163E93" w:rsidRPr="00BF5E04" w:rsidRDefault="00163E93" w:rsidP="00163E93">
      <w:hyperlink r:id="rId40" w:history="1">
        <w:r w:rsidRPr="00BF5E04">
          <w:rPr>
            <w:rStyle w:val="a3"/>
          </w:rPr>
          <w:t>https://www.yuga.ru/news/481104/</w:t>
        </w:r>
      </w:hyperlink>
      <w:r w:rsidRPr="00BF5E04">
        <w:t xml:space="preserve"> </w:t>
      </w:r>
    </w:p>
    <w:p w14:paraId="797027D8" w14:textId="77777777" w:rsidR="00163E93" w:rsidRPr="00BF5E04" w:rsidRDefault="00163E93" w:rsidP="00163E93">
      <w:pPr>
        <w:pStyle w:val="2"/>
      </w:pPr>
      <w:bookmarkStart w:id="125" w:name="_Toc222380388"/>
      <w:r w:rsidRPr="00BF5E04">
        <w:t>Кубань сегодня, 18.02.2026, Экономист Олег Николаев прокомментировал законопроект о возвращении прежнего пенсионного возраста</w:t>
      </w:r>
      <w:bookmarkEnd w:id="125"/>
    </w:p>
    <w:p w14:paraId="5EB57716" w14:textId="34AE0BED" w:rsidR="00163E93" w:rsidRPr="00BF5E04" w:rsidRDefault="00163E93" w:rsidP="001A12F0">
      <w:pPr>
        <w:pStyle w:val="3"/>
      </w:pPr>
      <w:bookmarkStart w:id="126" w:name="_Toc222380389"/>
      <w:r w:rsidRPr="00BF5E04">
        <w:t xml:space="preserve">Группа депутатов Госдумы от КПРФ во главе с лидером партии Геннадием Зюгановым в феврале 2026 года внесла на рассмотрение нижней палаты парламента законопроект о возвращении прежнего пенсионного возраста: 60 лет для мужчин и 55 лет для женщин. Авторы документа считают реформу с повышением возраста выхода на пенсию провальной: она не оправдала ожиданий и негативно отразилась на продолжительности жизни. Эксперт Института экономики роста имени П.А. Столыпина, член генсовета </w:t>
      </w:r>
      <w:r w:rsidR="00401C97">
        <w:t>«</w:t>
      </w:r>
      <w:r w:rsidRPr="00BF5E04">
        <w:t>Деловой России</w:t>
      </w:r>
      <w:r w:rsidR="00401C97">
        <w:t>»</w:t>
      </w:r>
      <w:r w:rsidRPr="00BF5E04">
        <w:t xml:space="preserve">, член ФПС партии </w:t>
      </w:r>
      <w:r w:rsidR="00401C97">
        <w:t>«</w:t>
      </w:r>
      <w:r w:rsidRPr="00BF5E04">
        <w:t>Новые люди</w:t>
      </w:r>
      <w:r w:rsidR="00401C97">
        <w:t>»</w:t>
      </w:r>
      <w:r w:rsidRPr="00BF5E04">
        <w:t xml:space="preserve"> экономист Олег Николаев отмечает, что возвращение к прежнему пенсионному возрасту имеет конкретную цену для бюджета.</w:t>
      </w:r>
      <w:bookmarkEnd w:id="126"/>
    </w:p>
    <w:p w14:paraId="72A67D4D" w14:textId="7E2C986E" w:rsidR="00163E93" w:rsidRPr="00BF5E04" w:rsidRDefault="00401C97" w:rsidP="00163E93">
      <w:r>
        <w:t>«</w:t>
      </w:r>
      <w:r w:rsidR="00163E93" w:rsidRPr="00BF5E04">
        <w:t>В рамках пенсионной реформы, которая продлится до 2028 года, пенсионный возраст повышается постепенно, увеличиваясь на 12 месяцев каждые два года. В 2024 году возраст выхода на пенсию по старости составлял 58 лет для женщин и 63 года для мужчин. В 2026-м, соответственно, на пенсию смогут выйти 59-летние женщины и 64-летние мужчины. К 2028 году будет достигнут запланированный уровень в 60 и 65 лет соответственно. Если предположить, что мечта КПРФ сбылась и пенсионный возраст откатили обратно, это означает, что нужно выплачивать пенсии по старости всем женщинам от 55 до 58 лет и мужчинам от 60 до 63</w:t>
      </w:r>
      <w:r>
        <w:t>»</w:t>
      </w:r>
      <w:r w:rsidR="00163E93" w:rsidRPr="00BF5E04">
        <w:t>, — пояснил он.</w:t>
      </w:r>
    </w:p>
    <w:p w14:paraId="7821EBE7" w14:textId="77777777" w:rsidR="00163E93" w:rsidRPr="00BF5E04" w:rsidRDefault="00163E93" w:rsidP="00163E93">
      <w:r w:rsidRPr="00BF5E04">
        <w:t xml:space="preserve">Со ссылкой на данные Росстата Николаев уточнил, что в 2023 году в России насчитывалось 10,369 миллиона граждан обоего пола в возрасте от 60 до 64 лет, а также 8,988 миллиона – в возрасте от 55 до 59 лет. По его предположению, выплачивать пенсии по старости при возвращении к прежнему пенсионному возрасту нужно будет примерно 7 миллионам человек. При среднем размере пенсии по старости чуть более 25 тысяч </w:t>
      </w:r>
      <w:r w:rsidRPr="00BF5E04">
        <w:lastRenderedPageBreak/>
        <w:t>рублей в месяц за год это потребует дополнительных расходов приблизительно в 2,1 триллиона рублей, считает Николаев.</w:t>
      </w:r>
    </w:p>
    <w:p w14:paraId="486403B7" w14:textId="2578078E" w:rsidR="00163E93" w:rsidRPr="00BF5E04" w:rsidRDefault="00401C97" w:rsidP="00163E93">
      <w:r>
        <w:t>«</w:t>
      </w:r>
      <w:r w:rsidR="00163E93" w:rsidRPr="00BF5E04">
        <w:t>Это при том, что суммарные доходы Соцфонда по обязательному пенсионному страхованию за 2025 год составили 10,45 триллиона рублей. И еще для сравнения – запланированный дефицит федерального бюджета на 2026 год – 3,79 триллиона рублей. Короче говоря, математика побеждает абстрактное человеколюбие</w:t>
      </w:r>
      <w:r>
        <w:t>»</w:t>
      </w:r>
      <w:r w:rsidR="00163E93" w:rsidRPr="00BF5E04">
        <w:t>, — подчеркнул он.</w:t>
      </w:r>
    </w:p>
    <w:p w14:paraId="3FEF54A1" w14:textId="64C94902" w:rsidR="00163E93" w:rsidRPr="00BF5E04" w:rsidRDefault="00163E93" w:rsidP="00163E93">
      <w:r w:rsidRPr="00BF5E04">
        <w:t xml:space="preserve">По мнению Николаева, за последние несколько десятков лет демографическая ситуация радикально изменилась, а потому </w:t>
      </w:r>
      <w:r w:rsidR="00401C97">
        <w:t>«</w:t>
      </w:r>
      <w:r w:rsidRPr="00BF5E04">
        <w:t>применять прежние подходы к пенсионной системе, установленные в 1932 году (когда молодежи было в разы больше, чем пожилых), невозможно ни при каком раскладе</w:t>
      </w:r>
      <w:r w:rsidR="00401C97">
        <w:t>»</w:t>
      </w:r>
      <w:r w:rsidRPr="00BF5E04">
        <w:t>.</w:t>
      </w:r>
    </w:p>
    <w:p w14:paraId="0CA2BE19" w14:textId="51B1BFB1" w:rsidR="00111D7C" w:rsidRPr="00BF5E04" w:rsidRDefault="00163E93" w:rsidP="00163E93">
      <w:hyperlink r:id="rId41" w:history="1">
        <w:r w:rsidRPr="00BF5E04">
          <w:rPr>
            <w:rStyle w:val="a3"/>
          </w:rPr>
          <w:t>https://kubantoday.ru/jekonomist-oleg-nikolaev-prokommentiroval-zakonoproekt-o-vozvrashhenii-prezhnego-pensionnogo-vozrasta/</w:t>
        </w:r>
      </w:hyperlink>
    </w:p>
    <w:p w14:paraId="7ABA14CB" w14:textId="77777777" w:rsidR="00163E93" w:rsidRPr="00BF5E04" w:rsidRDefault="00163E93" w:rsidP="00163E93"/>
    <w:p w14:paraId="5A637E07" w14:textId="77777777" w:rsidR="00111D7C" w:rsidRPr="008A72AD" w:rsidRDefault="00111D7C" w:rsidP="00111D7C">
      <w:pPr>
        <w:pStyle w:val="251"/>
      </w:pPr>
      <w:bookmarkStart w:id="127" w:name="_Toc99271704"/>
      <w:bookmarkStart w:id="128" w:name="_Toc99318656"/>
      <w:bookmarkStart w:id="129" w:name="_Toc165991076"/>
      <w:bookmarkStart w:id="130" w:name="_Toc62681899"/>
      <w:bookmarkStart w:id="131" w:name="_Toc222380390"/>
      <w:bookmarkEnd w:id="24"/>
      <w:bookmarkEnd w:id="25"/>
      <w:bookmarkEnd w:id="26"/>
      <w:r w:rsidRPr="00BF5E04">
        <w:lastRenderedPageBreak/>
        <w:t>НОВОСТИ МАКРОЭКОНОМИКИ</w:t>
      </w:r>
      <w:bookmarkEnd w:id="127"/>
      <w:bookmarkEnd w:id="128"/>
      <w:bookmarkEnd w:id="129"/>
      <w:bookmarkEnd w:id="131"/>
    </w:p>
    <w:p w14:paraId="321E0099" w14:textId="2514A620" w:rsidR="00E85654" w:rsidRPr="00E85654" w:rsidRDefault="00E85654" w:rsidP="00E85654">
      <w:pPr>
        <w:pStyle w:val="2"/>
      </w:pPr>
      <w:bookmarkStart w:id="132" w:name="_Toc222380391"/>
      <w:r w:rsidRPr="00E85654">
        <w:t>Ведомости, 18.02.2026, Эпоха доминирования розничных инвесторов на фондовом рынке уходит</w:t>
      </w:r>
      <w:bookmarkEnd w:id="132"/>
    </w:p>
    <w:p w14:paraId="2A433774" w14:textId="77777777" w:rsidR="00E85654" w:rsidRPr="00E85654" w:rsidRDefault="00E85654" w:rsidP="00E85654">
      <w:pPr>
        <w:pStyle w:val="3"/>
      </w:pPr>
      <w:bookmarkStart w:id="133" w:name="_Toc222380392"/>
      <w:r w:rsidRPr="00E85654">
        <w:t>На фондовом рынке для увеличения его капитализации должен смениться двигатель. Эпоха доминирования эмоциональных розничных инвесторов проходит, ставку необходимо делать на «длинные деньги»: пенсионные накопления (НПФ), программы долгосрочных сбережений (ПДС) и ИИС-3, пишут в новом обзоре ведущий аналитик «Эксперт РА» Татьяна Яковец и управляющий директор по инвестиционным рейтингом агентства и Роман Андреев.</w:t>
      </w:r>
      <w:bookmarkEnd w:id="133"/>
    </w:p>
    <w:p w14:paraId="6FB31423" w14:textId="77777777" w:rsidR="00E85654" w:rsidRPr="00E85654" w:rsidRDefault="00E85654" w:rsidP="00E85654">
      <w:r w:rsidRPr="00E85654">
        <w:t>Новые доминанты рынка</w:t>
      </w:r>
    </w:p>
    <w:p w14:paraId="441868FE" w14:textId="77777777" w:rsidR="00E85654" w:rsidRPr="00E85654" w:rsidRDefault="00E85654" w:rsidP="00E85654">
      <w:r w:rsidRPr="00E85654">
        <w:t>По итогам 2024 г. капитализация фондового рынка составляла 26% от ВВП, по оценкам «Эксперт РА», в 2025-м показатель составит 23%. Для достижения цели президента - увеличить капитализацию фондового рынка до 66% ВВП к 2030 г. - первоочередной задачей является институциональная трансформация фондового рынка как фундамента его дальнейшего роста, считают в «Эксперт РА».</w:t>
      </w:r>
    </w:p>
    <w:p w14:paraId="7780AFDD" w14:textId="77777777" w:rsidR="00E85654" w:rsidRPr="00E85654" w:rsidRDefault="00E85654" w:rsidP="00E85654">
      <w:r w:rsidRPr="00E85654">
        <w:t>Развитие НПФ и внедрение программ долгосрочных сбережений позволит кратно увеличить емкость рынка, пишут Яковец и Андреев. На большом сформированном рынке финансово устойчивые и прозрачные компании смогут привлекать значительно большие объемы капитала, чем в условиях текущего доминирования розничных инвесторов. Капитализация уже торгуемых компаний будет определяться прежде всего внутренней эффективностью эмитентов - сильными финансовыми результатами, прозрачностью корпоративного управления и предсказуемой дивидендной политикой, считают эксперты.</w:t>
      </w:r>
    </w:p>
    <w:p w14:paraId="1EE79817" w14:textId="77777777" w:rsidR="00E85654" w:rsidRPr="008F6312" w:rsidRDefault="00E85654" w:rsidP="00E85654">
      <w:r w:rsidRPr="00E85654">
        <w:t xml:space="preserve">В 2020-2021 гг. пандемия и низкие ставки спровоцировали массовый приток розничных инвесторов на биржу в поисках доходности, капиталом рынок тогда обеспечило присутствие иностранных институционных инвесторов, говорится в обзоре «Эксперт РА». </w:t>
      </w:r>
      <w:r w:rsidRPr="008F6312">
        <w:t>События 2022 г. привели к обвалу индексов и уходу иностранного капитала. Рынок лишился внешнего финансирования и стал опираться на внутренние ресурсы. Восстановление в 2023-2024 гг. обеспечили розничные инвесторы - пик доминирования был в 2023 г., когда на них приходилось 82% оборота торгов.</w:t>
      </w:r>
    </w:p>
    <w:p w14:paraId="35C265ED" w14:textId="77777777" w:rsidR="00E85654" w:rsidRPr="008F6312" w:rsidRDefault="00E85654" w:rsidP="00E85654">
      <w:r w:rsidRPr="008F6312">
        <w:t>Доминирование розничных инвесторов фундаментально изменило поведение рынка, сделав его более эмоциональным и частично зависимым от маркетинга эмитентов, говорится в обзоре. Такие инвесторы активнее реагируют на новости, что ведет к частому совершению сделок и, как следствие, к росту объемов торгов даже при небольших изменениях цены.</w:t>
      </w:r>
    </w:p>
    <w:p w14:paraId="7DCCF815" w14:textId="77777777" w:rsidR="00E85654" w:rsidRPr="008F6312" w:rsidRDefault="00E85654" w:rsidP="00E85654">
      <w:r w:rsidRPr="008F6312">
        <w:t xml:space="preserve">Также сложившаяся ситуация выявила критическую проблему емкости рынка: смена базы инвесторов сделала рынок массовым по количеству участников, но ограниченным по объему капитала, считают авторы обзора. Это определило лицо бума </w:t>
      </w:r>
      <w:r w:rsidRPr="00E85654">
        <w:rPr>
          <w:lang w:val="en-US"/>
        </w:rPr>
        <w:t>IPO</w:t>
      </w:r>
      <w:r w:rsidRPr="008F6312">
        <w:t xml:space="preserve"> в 2023-2024 гг. - на рынок вышло 22 новых имен, но это был преимущественно «парад компаний малой и средней капитализации». Фрагментированный спрос физических лиц не способен взять на себя крупные размещения - розничный инвестор может обеспечить </w:t>
      </w:r>
      <w:r w:rsidRPr="008F6312">
        <w:lastRenderedPageBreak/>
        <w:t>успех сделки на 3-5 млрд руб., но не может заменить ушедшие иностранные фонды в сделках на сумму более 50 млрд руб., говорится в обзоре «Эксперт РА».</w:t>
      </w:r>
    </w:p>
    <w:p w14:paraId="3B56264E" w14:textId="77777777" w:rsidR="00E85654" w:rsidRPr="008F6312" w:rsidRDefault="00E85654" w:rsidP="00E85654">
      <w:r w:rsidRPr="008F6312">
        <w:t xml:space="preserve">Жесткая денежно-кредитная политика (ДКП) Банка России с середины 2024 г. сделала акции менее привлекательными по сравнению с банковскими депозитами и парализовала рынок </w:t>
      </w:r>
      <w:r w:rsidRPr="00E85654">
        <w:rPr>
          <w:lang w:val="en-US"/>
        </w:rPr>
        <w:t>IPO</w:t>
      </w:r>
      <w:r w:rsidRPr="008F6312">
        <w:t xml:space="preserve"> в 2025 г. На рынок вышло всего четыре новые компании. Инвесторы потеряли мотивацию рисковать в акциях ради дивидендов или негарантированного роста цены акции, а эмитенты не готовы были размещаться с дисконтом, отметили в «Эксперт РА». В 2024-2025 гг. доля розничных инвесторов в оборотах торгов снизилась, но все еще оставалась высокой - 77% и 71%, соответственно.</w:t>
      </w:r>
    </w:p>
    <w:p w14:paraId="73084EBB" w14:textId="77777777" w:rsidR="00E85654" w:rsidRPr="008F6312" w:rsidRDefault="00E85654" w:rsidP="00E85654">
      <w:r w:rsidRPr="008F6312">
        <w:t xml:space="preserve">По данным Банка России за </w:t>
      </w:r>
      <w:r w:rsidRPr="00E85654">
        <w:rPr>
          <w:lang w:val="en-US"/>
        </w:rPr>
        <w:t>III</w:t>
      </w:r>
      <w:r w:rsidRPr="008F6312">
        <w:t xml:space="preserve"> квартал 2025 г., доля российских акций в портфелях физических лиц на брокерском обслуживании составила 25% - это минимальное значение с 2022 г.</w:t>
      </w:r>
    </w:p>
    <w:p w14:paraId="20C15851" w14:textId="77777777" w:rsidR="00E85654" w:rsidRPr="008F6312" w:rsidRDefault="00E85654" w:rsidP="00E85654">
      <w:r w:rsidRPr="008F6312">
        <w:t>Но в любом случае для притока денег на фондовый рынок важны понятные правила игры, говорится в обзоре. Предсказуемая макроэкономическая и фискальная политика создает понятные правила игры, позволяя бизнесу планировать, а рынку адекватно оценивать активы. Когда инвесторы понимают логику налоговых изменений и размер бюджетных расходов, «исчезает туман неопределенности в отношении компаний и экономики страны», отмечается в обзоре: это снижает требуемую доходность у инвесторов и повышает рыночную стоимость компаний.</w:t>
      </w:r>
    </w:p>
    <w:p w14:paraId="3465E2FC" w14:textId="77777777" w:rsidR="00E85654" w:rsidRPr="008F6312" w:rsidRDefault="00E85654" w:rsidP="00E85654">
      <w:r w:rsidRPr="008F6312">
        <w:t>Розничные инвесторы всегда будут важны для компании, считает главный аналитик инвестбанка «Синара» Мария Лукина: они могут влиять на эволюцию публичного статуса компании. Институциональные инвесторы предпочитают более фундаментальные и зрелые истории, в то время как розничные полагаются на быстрый рост после размещений - это говорит о более спекулятивном спросе, говорит Лукина.</w:t>
      </w:r>
    </w:p>
    <w:p w14:paraId="43C1A2EE" w14:textId="77777777" w:rsidR="00E85654" w:rsidRPr="008F6312" w:rsidRDefault="00E85654" w:rsidP="00E85654">
      <w:r w:rsidRPr="008F6312">
        <w:t xml:space="preserve">Розничные инвесторы все еще доминируют на российском рынке акций как и с точки зрения оборота, так и в </w:t>
      </w:r>
      <w:r w:rsidRPr="00E85654">
        <w:rPr>
          <w:lang w:val="en-US"/>
        </w:rPr>
        <w:t>IPO</w:t>
      </w:r>
      <w:r w:rsidRPr="008F6312">
        <w:t>, добавляет управляющий директор по рынкам акционерного капитала «Финам» Леонид Павликов. Он согласен, что присутствие институциональных инвесторов становится все более очевидным. Но фонды, участвовавшие в сделках в 2023 и 2024 гг., по его словам, при изменении рыночных условий продавали бумаги вместе с розничными инвесторами.</w:t>
      </w:r>
    </w:p>
    <w:p w14:paraId="769465F1" w14:textId="77777777" w:rsidR="00E85654" w:rsidRPr="008F6312" w:rsidRDefault="00E85654" w:rsidP="00E85654">
      <w:r w:rsidRPr="008F6312">
        <w:t xml:space="preserve">Крупные инвесторы, продолжает Павликов, такие как НПФ и страховые компании, будут активны на </w:t>
      </w:r>
      <w:r w:rsidRPr="00E85654">
        <w:rPr>
          <w:lang w:val="en-US"/>
        </w:rPr>
        <w:t>IPO</w:t>
      </w:r>
      <w:r w:rsidRPr="008F6312">
        <w:t xml:space="preserve"> госкомпаний. Он считает, что они не будут участвовать в сделках с компаниями малой и средней капитализации или выделять значительные объемы на эти цели.</w:t>
      </w:r>
    </w:p>
    <w:p w14:paraId="3617B474" w14:textId="77777777" w:rsidR="00E85654" w:rsidRPr="008F6312" w:rsidRDefault="00E85654" w:rsidP="00E85654">
      <w:r w:rsidRPr="008F6312">
        <w:t>На пороге бума</w:t>
      </w:r>
    </w:p>
    <w:p w14:paraId="4672A12E" w14:textId="77777777" w:rsidR="00E85654" w:rsidRPr="008F6312" w:rsidRDefault="00E85654" w:rsidP="00E85654">
      <w:r w:rsidRPr="008F6312">
        <w:t>В 2026 г., по оценками Яковец и Андреева, рынок первичных размещений ждет восстановление. Благоприятные макроэкономические условия при снижении ставки в сочетании с мерами поддержки государства для выхода компаний на биржу могут позволить рынку в 2026 г. аккумулировать объем ликвидности для первичных размещений в размере 50-100 млрд руб., а само количество новых имен может составить до 20 штук.</w:t>
      </w:r>
    </w:p>
    <w:p w14:paraId="369E2FCA" w14:textId="77777777" w:rsidR="00E85654" w:rsidRPr="008F6312" w:rsidRDefault="00E85654" w:rsidP="00E85654">
      <w:r w:rsidRPr="008F6312">
        <w:t xml:space="preserve">Новые стандарты для </w:t>
      </w:r>
      <w:r w:rsidRPr="00E85654">
        <w:rPr>
          <w:lang w:val="en-US"/>
        </w:rPr>
        <w:t>IPO</w:t>
      </w:r>
    </w:p>
    <w:p w14:paraId="6D9C1632" w14:textId="77777777" w:rsidR="00E85654" w:rsidRPr="008F6312" w:rsidRDefault="00E85654" w:rsidP="00E85654">
      <w:r w:rsidRPr="008F6312">
        <w:lastRenderedPageBreak/>
        <w:t xml:space="preserve">С конца 2025 г. со стороны Мосбиржи и Банка России вступили новые правила, направленные на повышение качества </w:t>
      </w:r>
      <w:r w:rsidRPr="00E85654">
        <w:rPr>
          <w:lang w:val="en-US"/>
        </w:rPr>
        <w:t>IPO</w:t>
      </w:r>
      <w:r w:rsidRPr="008F6312">
        <w:t xml:space="preserve"> и прозрачности компаний. С 1 октября площадка снизила минимальный порог акций в свободном обращении до 1% для второго уровня листинга при условии, что стоимость пакеты обыкновенных акций составляет не менее 2 млрд руб. С 2026 г. продажа акций на бирже должна происходить в течение месяца с с даты начала продажи - это исключает затянутые процессы. Кроме того, увеличены требования к медианному объему торгов в день (для первого уровня листинга - 20 млн руб., для второго - 3 млн руб.). Для защиты владельцев небольшого пакета акций компании - миноритариев - со 2 января акционерные общества обязаны предоставлять акционерам ряд документов об их деятельности в течение семи рабочих дней с даты предъявления требования.</w:t>
      </w:r>
    </w:p>
    <w:p w14:paraId="180C76C0" w14:textId="77777777" w:rsidR="00E85654" w:rsidRPr="008F6312" w:rsidRDefault="00E85654" w:rsidP="00E85654">
      <w:r w:rsidRPr="008F6312">
        <w:t xml:space="preserve">Определяющим фактором в 2026-2027 гг. будет уровень ключевой ставки. Ожидаемое снижение ставки в 2026 г. станет катализатором компаний для выхода на биржу. По прогнозу Банка России, среднегодовая ключевая ставка в 2026 г. будет фиксироваться на 13-13,5%. По мнению «Эксперт РА», это все еще дорого, но тенденция на снижение станет сигналом для компаний начать подготовку к </w:t>
      </w:r>
      <w:r w:rsidRPr="00E85654">
        <w:rPr>
          <w:lang w:val="en-US"/>
        </w:rPr>
        <w:t>IPO</w:t>
      </w:r>
      <w:r w:rsidRPr="008F6312">
        <w:t>.</w:t>
      </w:r>
    </w:p>
    <w:p w14:paraId="31345D85" w14:textId="77777777" w:rsidR="00E85654" w:rsidRPr="008F6312" w:rsidRDefault="00E85654" w:rsidP="00E85654">
      <w:r w:rsidRPr="008F6312">
        <w:t xml:space="preserve">Но ЦБ может держать «ключ» в районе 14-15% дольше ожидаемого, что сделает банковские депозиты более привлекательными и «высушит» ликвидность на рынке </w:t>
      </w:r>
      <w:r w:rsidRPr="00E85654">
        <w:rPr>
          <w:lang w:val="en-US"/>
        </w:rPr>
        <w:t>IPO</w:t>
      </w:r>
      <w:r w:rsidRPr="008F6312">
        <w:t xml:space="preserve">. Высокая стоимость кредитов в 2025 г. может привести к замедлению роста ВВП в 2026 г., говорится в обзоре: для компаний это означает уменьшение прибыли, что станет причиной более низких оценок при выходе на биржу, тогда они будут откладывать </w:t>
      </w:r>
      <w:r w:rsidRPr="00E85654">
        <w:rPr>
          <w:lang w:val="en-US"/>
        </w:rPr>
        <w:t>IPO</w:t>
      </w:r>
      <w:r w:rsidRPr="008F6312">
        <w:t>.</w:t>
      </w:r>
    </w:p>
    <w:p w14:paraId="40F492E1" w14:textId="77777777" w:rsidR="00E85654" w:rsidRPr="008F6312" w:rsidRDefault="00E85654" w:rsidP="00E85654">
      <w:r w:rsidRPr="008F6312">
        <w:t xml:space="preserve">Среди отраслей в 2026-2027 гг. основной интерес инвесторов будет сосредоточен в </w:t>
      </w:r>
      <w:r w:rsidRPr="00E85654">
        <w:rPr>
          <w:lang w:val="en-US"/>
        </w:rPr>
        <w:t>IT</w:t>
      </w:r>
      <w:r w:rsidRPr="008F6312">
        <w:t xml:space="preserve"> и ИИ-технологиях, а также на ритейле, электронной коммерции и финтехе, считают Яковец и Андреева. Государство стимулирует выход </w:t>
      </w:r>
      <w:r w:rsidRPr="00E85654">
        <w:rPr>
          <w:lang w:val="en-US"/>
        </w:rPr>
        <w:t>IT</w:t>
      </w:r>
      <w:r w:rsidRPr="008F6312">
        <w:t xml:space="preserve">-компаний на биржу за счет компенсации затрат на листинг и льготное кредитование на подготовку в рамках </w:t>
      </w:r>
      <w:r w:rsidRPr="00E85654">
        <w:rPr>
          <w:lang w:val="en-US"/>
        </w:rPr>
        <w:t>IPO</w:t>
      </w:r>
      <w:r w:rsidRPr="008F6312">
        <w:t xml:space="preserve">. Кроме того, для таких организаций действуют пониженные требования по капитализации и сроку существования бизнеса для включения в включения в котировальный список, а также разрабатываются механизмы инвестиционных платформ, которые позволяют привлекать капитал без прохождения процедур полноценного листинга. Также если инвестор владеет акциями российских </w:t>
      </w:r>
      <w:r w:rsidRPr="00E85654">
        <w:rPr>
          <w:lang w:val="en-US"/>
        </w:rPr>
        <w:t>IT</w:t>
      </w:r>
      <w:r w:rsidRPr="008F6312">
        <w:t>-компания более года, он освобождается от уплаты налога при продаже (для обычных компаний этот срок составляет пять лет).</w:t>
      </w:r>
    </w:p>
    <w:p w14:paraId="01B39A3C" w14:textId="77777777" w:rsidR="00E85654" w:rsidRPr="008F6312" w:rsidRDefault="00E85654" w:rsidP="00E85654">
      <w:r w:rsidRPr="008F6312">
        <w:t xml:space="preserve">При снижении ключевой ставки в 2026 г. Лукина из «Синары» ожидает, что объем привлечения средств посредством </w:t>
      </w:r>
      <w:r w:rsidRPr="00E85654">
        <w:rPr>
          <w:lang w:val="en-US"/>
        </w:rPr>
        <w:t>IPO</w:t>
      </w:r>
      <w:r w:rsidRPr="008F6312">
        <w:t xml:space="preserve"> может приблизиться к 100 млрд руб. в 10-15 сделках. Лидировать в количественном значений, отмечает Лукина, скорее всего, будет будет сектор информационных технологий.</w:t>
      </w:r>
    </w:p>
    <w:p w14:paraId="623090C3" w14:textId="77777777" w:rsidR="00E85654" w:rsidRPr="008F6312" w:rsidRDefault="00E85654" w:rsidP="00E85654">
      <w:r w:rsidRPr="008F6312">
        <w:t xml:space="preserve">Павликов считает, что бума </w:t>
      </w:r>
      <w:r w:rsidRPr="00E85654">
        <w:rPr>
          <w:lang w:val="en-US"/>
        </w:rPr>
        <w:t>IPO</w:t>
      </w:r>
      <w:r w:rsidRPr="008F6312">
        <w:t xml:space="preserve"> в 2026 г. не случится. Эмитенты будут смотреть на первичные размещения при ключевой ставке ниже 12% и при этом будет важна конъюнктура рынка, поскольку оценка формируется по большей части с оглядкой на компании аналоги. Павликов считает, что российский рынок может войти в продолжительный период «ренессанса </w:t>
      </w:r>
      <w:r w:rsidRPr="00E85654">
        <w:rPr>
          <w:lang w:val="en-US"/>
        </w:rPr>
        <w:t>IPO</w:t>
      </w:r>
      <w:r w:rsidRPr="008F6312">
        <w:t>», количество потенциальных эмитентов хватит на 2-3 года регулярных размещений, но это случится при снижении ключевой ставки, позитивных тенденциях в геополитике и росте индекса фондового рынка.</w:t>
      </w:r>
    </w:p>
    <w:p w14:paraId="7C2E860B" w14:textId="77777777" w:rsidR="00E85654" w:rsidRPr="008F6312" w:rsidRDefault="00E85654" w:rsidP="00E85654">
      <w:r w:rsidRPr="008F6312">
        <w:t xml:space="preserve">В «БКС мир инвестиций» тоже не ожидают бума </w:t>
      </w:r>
      <w:r w:rsidRPr="00E85654">
        <w:rPr>
          <w:lang w:val="en-US"/>
        </w:rPr>
        <w:t>IPO</w:t>
      </w:r>
      <w:r w:rsidRPr="008F6312">
        <w:t xml:space="preserve"> в 2026 г. при текущих условиях, несмотря на то что ДКП смягчилась, а ставку ЦБ снизил до 15,5%. Рынок акций в целом </w:t>
      </w:r>
      <w:r w:rsidRPr="008F6312">
        <w:lastRenderedPageBreak/>
        <w:t>и отдельные чувствительные к снижению ставки акции практически не отыграли этот факт, говорит персональный брокер компании Гусейн Рзаев. По его мнению, для увеличения объема торгов рынку нужна существенная геополитическая разрядка, поскольку в условиях, когда акции мало кто хочет покупать, а их цены находятся на довольно низком уровне, эмитентам не интересно активно выходить на рынок по низким ценам.</w:t>
      </w:r>
    </w:p>
    <w:p w14:paraId="1FD958D9" w14:textId="77777777" w:rsidR="00E85654" w:rsidRPr="008F6312" w:rsidRDefault="00E85654" w:rsidP="00E85654">
      <w:r w:rsidRPr="008F6312">
        <w:t xml:space="preserve">Рынок акций может начать расти во втором полугодии 2026 г., если ключевая ставка снизится, считает Рзаев. Тогда, говорит он, с </w:t>
      </w:r>
      <w:r w:rsidRPr="00E85654">
        <w:rPr>
          <w:lang w:val="en-US"/>
        </w:rPr>
        <w:t>III</w:t>
      </w:r>
      <w:r w:rsidRPr="008F6312">
        <w:t>-</w:t>
      </w:r>
      <w:r w:rsidRPr="00E85654">
        <w:rPr>
          <w:lang w:val="en-US"/>
        </w:rPr>
        <w:t>IV</w:t>
      </w:r>
      <w:r w:rsidRPr="008F6312">
        <w:t xml:space="preserve"> квартала рынок </w:t>
      </w:r>
      <w:r w:rsidRPr="00E85654">
        <w:rPr>
          <w:lang w:val="en-US"/>
        </w:rPr>
        <w:t>IPO</w:t>
      </w:r>
      <w:r w:rsidRPr="008F6312">
        <w:t xml:space="preserve"> может оживиться, а пока выходить на рынок </w:t>
      </w:r>
      <w:r w:rsidRPr="00E85654">
        <w:rPr>
          <w:lang w:val="en-US"/>
        </w:rPr>
        <w:t>IPO</w:t>
      </w:r>
      <w:r w:rsidRPr="008F6312">
        <w:t xml:space="preserve"> будут или компании с госучастием, или компании, которые уже не могут ждать более комфортных условий, считает эксперт.</w:t>
      </w:r>
    </w:p>
    <w:p w14:paraId="70323241" w14:textId="77777777" w:rsidR="00E85654" w:rsidRPr="008F6312" w:rsidRDefault="00E85654" w:rsidP="00E85654">
      <w:r w:rsidRPr="008F6312">
        <w:t>Анастасия Брянцева</w:t>
      </w:r>
    </w:p>
    <w:p w14:paraId="46D8522D" w14:textId="2A9935AC" w:rsidR="00E85654" w:rsidRPr="008A72AD" w:rsidRDefault="00E85654" w:rsidP="00E85654">
      <w:hyperlink r:id="rId42" w:history="1">
        <w:r w:rsidRPr="007C3F20">
          <w:rPr>
            <w:rStyle w:val="a3"/>
            <w:lang w:val="en-US"/>
          </w:rPr>
          <w:t>https</w:t>
        </w:r>
        <w:r w:rsidRPr="008F6312">
          <w:rPr>
            <w:rStyle w:val="a3"/>
          </w:rPr>
          <w:t>://</w:t>
        </w:r>
        <w:r w:rsidRPr="007C3F20">
          <w:rPr>
            <w:rStyle w:val="a3"/>
            <w:lang w:val="en-US"/>
          </w:rPr>
          <w:t>www</w:t>
        </w:r>
        <w:r w:rsidRPr="008F6312">
          <w:rPr>
            <w:rStyle w:val="a3"/>
          </w:rPr>
          <w:t>.</w:t>
        </w:r>
        <w:r w:rsidRPr="007C3F20">
          <w:rPr>
            <w:rStyle w:val="a3"/>
            <w:lang w:val="en-US"/>
          </w:rPr>
          <w:t>vedomosti</w:t>
        </w:r>
        <w:r w:rsidRPr="008F6312">
          <w:rPr>
            <w:rStyle w:val="a3"/>
          </w:rPr>
          <w:t>.</w:t>
        </w:r>
        <w:r w:rsidRPr="007C3F20">
          <w:rPr>
            <w:rStyle w:val="a3"/>
            <w:lang w:val="en-US"/>
          </w:rPr>
          <w:t>ru</w:t>
        </w:r>
        <w:r w:rsidRPr="008F6312">
          <w:rPr>
            <w:rStyle w:val="a3"/>
          </w:rPr>
          <w:t>/</w:t>
        </w:r>
        <w:r w:rsidRPr="007C3F20">
          <w:rPr>
            <w:rStyle w:val="a3"/>
            <w:lang w:val="en-US"/>
          </w:rPr>
          <w:t>investments</w:t>
        </w:r>
        <w:r w:rsidRPr="008F6312">
          <w:rPr>
            <w:rStyle w:val="a3"/>
          </w:rPr>
          <w:t>/</w:t>
        </w:r>
        <w:r w:rsidRPr="007C3F20">
          <w:rPr>
            <w:rStyle w:val="a3"/>
            <w:lang w:val="en-US"/>
          </w:rPr>
          <w:t>articles</w:t>
        </w:r>
        <w:r w:rsidRPr="008F6312">
          <w:rPr>
            <w:rStyle w:val="a3"/>
          </w:rPr>
          <w:t>/2026/02/17/1177149-</w:t>
        </w:r>
        <w:r w:rsidRPr="007C3F20">
          <w:rPr>
            <w:rStyle w:val="a3"/>
            <w:lang w:val="en-US"/>
          </w:rPr>
          <w:t>epoha</w:t>
        </w:r>
        <w:r w:rsidRPr="008F6312">
          <w:rPr>
            <w:rStyle w:val="a3"/>
          </w:rPr>
          <w:t>-</w:t>
        </w:r>
        <w:r w:rsidRPr="007C3F20">
          <w:rPr>
            <w:rStyle w:val="a3"/>
            <w:lang w:val="en-US"/>
          </w:rPr>
          <w:t>dominirovaniya</w:t>
        </w:r>
        <w:r w:rsidRPr="008F6312">
          <w:rPr>
            <w:rStyle w:val="a3"/>
          </w:rPr>
          <w:t>-</w:t>
        </w:r>
        <w:r w:rsidRPr="007C3F20">
          <w:rPr>
            <w:rStyle w:val="a3"/>
            <w:lang w:val="en-US"/>
          </w:rPr>
          <w:t>roznichnih</w:t>
        </w:r>
        <w:r w:rsidRPr="008F6312">
          <w:rPr>
            <w:rStyle w:val="a3"/>
          </w:rPr>
          <w:t>?</w:t>
        </w:r>
        <w:r w:rsidRPr="007C3F20">
          <w:rPr>
            <w:rStyle w:val="a3"/>
            <w:lang w:val="en-US"/>
          </w:rPr>
          <w:t>from</w:t>
        </w:r>
        <w:r w:rsidRPr="008F6312">
          <w:rPr>
            <w:rStyle w:val="a3"/>
          </w:rPr>
          <w:t>=</w:t>
        </w:r>
        <w:r w:rsidRPr="007C3F20">
          <w:rPr>
            <w:rStyle w:val="a3"/>
            <w:lang w:val="en-US"/>
          </w:rPr>
          <w:t>newsline</w:t>
        </w:r>
        <w:r w:rsidRPr="008F6312">
          <w:rPr>
            <w:rStyle w:val="a3"/>
          </w:rPr>
          <w:t>_</w:t>
        </w:r>
        <w:r w:rsidRPr="007C3F20">
          <w:rPr>
            <w:rStyle w:val="a3"/>
            <w:lang w:val="en-US"/>
          </w:rPr>
          <w:t>partner</w:t>
        </w:r>
      </w:hyperlink>
      <w:r w:rsidRPr="008F6312">
        <w:t xml:space="preserve"> </w:t>
      </w:r>
    </w:p>
    <w:p w14:paraId="685125D6" w14:textId="0D4558AD" w:rsidR="007D78DB" w:rsidRPr="00D84AFE" w:rsidRDefault="007D78DB" w:rsidP="007D78DB">
      <w:pPr>
        <w:pStyle w:val="2"/>
      </w:pPr>
      <w:bookmarkStart w:id="134" w:name="_Toc222380393"/>
      <w:r w:rsidRPr="00D84AFE">
        <w:t>Ведомости, 19.02.2026, Молодежь все активнее инвестирует на фондовом рынке</w:t>
      </w:r>
      <w:bookmarkEnd w:id="134"/>
    </w:p>
    <w:p w14:paraId="127159E1" w14:textId="77777777" w:rsidR="007D78DB" w:rsidRPr="00D84AFE" w:rsidRDefault="007D78DB" w:rsidP="007D78DB">
      <w:pPr>
        <w:pStyle w:val="3"/>
      </w:pPr>
      <w:bookmarkStart w:id="135" w:name="_Toc222380394"/>
      <w:r w:rsidRPr="00D84AFE">
        <w:t>Молодежь все активнее увлекается инвестициями: доля самых молодых инвесторов в возрасте 18-19 лет по итогам 2025 г. увеличилась вдвое и составила 3,7%. Такие данные приводятся в совместном исследовании "Т-инвестиций" и Лаборатории инвестиционных исследований Центрального университета.</w:t>
      </w:r>
      <w:bookmarkEnd w:id="135"/>
    </w:p>
    <w:p w14:paraId="2191C4A3" w14:textId="77777777" w:rsidR="007D78DB" w:rsidRPr="00D84AFE" w:rsidRDefault="007D78DB" w:rsidP="007D78DB">
      <w:r w:rsidRPr="00D84AFE">
        <w:t>По данным Мосбиржи, количество инвесторов в России в 2025 г. приблизилось к отметке 40 млн человек, а всего брокерских счетов по стране открыто почти 75 млн. Анализ исследования проведен на основе данных 28 млн российских инвесторов, имевших брокерский счет на конец 2025 г.</w:t>
      </w:r>
    </w:p>
    <w:p w14:paraId="70316805" w14:textId="77777777" w:rsidR="007D78DB" w:rsidRPr="00D84AFE" w:rsidRDefault="007D78DB" w:rsidP="007D78DB">
      <w:r w:rsidRPr="00D84AFE">
        <w:t>Портрет инвестора</w:t>
      </w:r>
    </w:p>
    <w:p w14:paraId="32707A9C" w14:textId="77777777" w:rsidR="007D78DB" w:rsidRPr="00D84AFE" w:rsidRDefault="007D78DB" w:rsidP="007D78DB">
      <w:r w:rsidRPr="00D84AFE">
        <w:t>Ключевой аудиторией остаются инвесторы в возрасте 20-34 лет, хотя их доля незначительно сократилась - с 41 до 39% по итогам 2025 г. Сегмент инвесторов от 35 до 44 лет остался стабильным: совокупная доля снизилась с 29,2 до 28,6% за 2025 г., что говорит об устойчивом участии инвесторов среднего возраста. В категории 45-54 лет изменения также были минимальными (16,6% в 2024 г. против 16,8% в 2025 г.). А в группе инвесторов 55 лет и старше зафиксировано лишь небольшое увеличение: доля увеличилась с 10,7% в 2024 г. до 11,27% в 2025 г.</w:t>
      </w:r>
    </w:p>
    <w:p w14:paraId="201C70A4" w14:textId="77777777" w:rsidR="007D78DB" w:rsidRPr="00D84AFE" w:rsidRDefault="007D78DB" w:rsidP="007D78DB">
      <w:r w:rsidRPr="00D84AFE">
        <w:t>Гендерное соотношение остается стабильным несколько лет: 54,6% инвесторов - мужчины, 45,4% - женщины. При этом разрыв в активности колоссальный: мужчины совершают в среднем 23,5 сделки против 8 у женщин, т. е. почти в 3 раза больше, отмечают аналитики.</w:t>
      </w:r>
    </w:p>
    <w:p w14:paraId="7E19FF5E" w14:textId="77777777" w:rsidR="007D78DB" w:rsidRPr="00D84AFE" w:rsidRDefault="007D78DB" w:rsidP="007D78DB">
      <w:r w:rsidRPr="00D84AFE">
        <w:t>Большинство инвесторов все так же имеют высшее образование (показатель снизился с 61,1 до 60,6%), говорится в исследовании, а категория со вторым высшим остается малочисленной и никак не изменилась за год. Количество инвесторов со средним специальным образованием увеличилось с 36,9 до 37,5%, людям с ученой степенью все так же мало интересна эта деятельность - их доля составляет менее 1% и почти не меняется.</w:t>
      </w:r>
    </w:p>
    <w:p w14:paraId="4666B767" w14:textId="77777777" w:rsidR="007D78DB" w:rsidRPr="00D84AFE" w:rsidRDefault="007D78DB" w:rsidP="007D78DB">
      <w:r w:rsidRPr="00D84AFE">
        <w:lastRenderedPageBreak/>
        <w:t>Аудитория 18-19 лет, для которой важнее заработать, чем сохранить, нарастила долю фьючерсов в обороте с 15% в 2024 г. до 50% в 2025 г. при одновременном снижении доли акций с 68% до 34%, говорит директор по развитию брокерских продуктов "Т-инвестиций" Александр Гусев.</w:t>
      </w:r>
    </w:p>
    <w:p w14:paraId="6D96C6CD" w14:textId="77777777" w:rsidR="007D78DB" w:rsidRPr="00D84AFE" w:rsidRDefault="007D78DB" w:rsidP="007D78DB">
      <w:r w:rsidRPr="00D84AFE">
        <w:t>В отличие от классического фондового сегмента срочный рынок предоставляет более широкий спектр возможностей - торговлю не только акциями, но и валютой, индексами, сырьевыми товарами. Но важно понимать, что речь идет именно о спекулятивной торговле, а не об инвестициях, считает основатель Института финансово-инвестиционных технологий Алексей Примак. Использование плеча кратно увеличивает как потенциальную доходность, так и риски. Именно поэтому молодые участники интересуются инструментами с потенциально кратным ростом, среди которых фьючерсы с плечом. И 80% таких портфелей, по оценке эксперта, скорее похожи на казино, но, с другой стороны, те, кто проходит через этап ошибок, со временем и становятся профессиональными участниками рынка.</w:t>
      </w:r>
    </w:p>
    <w:p w14:paraId="4C55A540" w14:textId="77777777" w:rsidR="007D78DB" w:rsidRPr="00D84AFE" w:rsidRDefault="007D78DB" w:rsidP="007D78DB">
      <w:r w:rsidRPr="00D84AFE">
        <w:t>Как инвестировали в 2025 г.</w:t>
      </w:r>
    </w:p>
    <w:p w14:paraId="0CB16EFB" w14:textId="77777777" w:rsidR="007D78DB" w:rsidRPr="00D84AFE" w:rsidRDefault="007D78DB" w:rsidP="007D78DB">
      <w:r w:rsidRPr="00D84AFE">
        <w:t>Прошлый год стал переломным для структуры торгов: инвесторы перестали наращивать частоту операций, но начали активно торговать по-крупному. Средний размер сделки взлетел на 41%, но ее абсолютное значение в исследовании не раскрывается. Такая тенденция может отражать изменения в структуре портфелей в пользу рублевых облигаций, считает главный экономист "Т-инвестиций" Софья Донец. Так как этот инструмент не подразумевает частотной торговли, это объясняет снижение частоты сделок одновременно с увеличением среднего лота, пояснила она.</w:t>
      </w:r>
    </w:p>
    <w:p w14:paraId="0DFB47C9" w14:textId="77777777" w:rsidR="007D78DB" w:rsidRPr="00D84AFE" w:rsidRDefault="007D78DB" w:rsidP="007D78DB">
      <w:r w:rsidRPr="00D84AFE">
        <w:t xml:space="preserve">Важное открытие для аналитиков: фьючерсы вытеснили акции с пьедестала. </w:t>
      </w:r>
      <w:r w:rsidRPr="007D78DB">
        <w:rPr>
          <w:lang w:val="en-US"/>
        </w:rPr>
        <w:t>E</w:t>
      </w:r>
      <w:r w:rsidRPr="00D84AFE">
        <w:t>сли в 2024 г. на акции приходилось 56,8% оборота, то в 2025 г. - лишь 37,4%. Доля фьючерсов в оборотах инвесторов за это время подскочила с 36,1% до 54,2%, сделав их основным драйвером рынка. При этом круг трейдеров на срочном рынке остается относительно узким: их число выросло на 44%, а вот количество инвесторов в акциях, наоборот, сократилось на 13%, абсолютное значение этих сегментов также не раскрывается. Такая тенденция означает, что относительно небольшая группа опытных игроков формирует огромную часть оборота, оперируя более крупными объемами, говорится в исследовании.</w:t>
      </w:r>
    </w:p>
    <w:p w14:paraId="7BFDB120" w14:textId="77777777" w:rsidR="007D78DB" w:rsidRPr="00D84AFE" w:rsidRDefault="007D78DB" w:rsidP="007D78DB">
      <w:r w:rsidRPr="00D84AFE">
        <w:t>Наблюдаемая динамика носит спекулятивный характер, а не является системным сдвигом, считает аналитик УК "Альфа-капитал" Давид Касперский. Рекордные объемы торгов фьючерсами обусловлены резким притоком средств в контракты на драгметаллы и криптовалюты на фоне их волатильности: среднедневные обороты в серебре выросли в 10 раз, в золоте - в 1,6 раза, а обороты по фьючерсу на биткойн увеличились почти в 10 раз за неделю.</w:t>
      </w:r>
    </w:p>
    <w:p w14:paraId="4E8100ED" w14:textId="77777777" w:rsidR="007D78DB" w:rsidRPr="00D84AFE" w:rsidRDefault="007D78DB" w:rsidP="007D78DB">
      <w:r w:rsidRPr="00D84AFE">
        <w:t xml:space="preserve">В отраслевой структуре акций произошла рокировка. Финансовый сектор упрочил лидерство, нарастив долю с 22 до 30% оборота. Взлетел спрос на альтернативные инструменты - с 17 до 26%, а вот интерес к потребительскому сектору, </w:t>
      </w:r>
      <w:r w:rsidRPr="007D78DB">
        <w:rPr>
          <w:lang w:val="en-US"/>
        </w:rPr>
        <w:t>IT</w:t>
      </w:r>
      <w:r w:rsidRPr="00D84AFE">
        <w:t xml:space="preserve"> и промышленности рухнул более чем в 2 раза (потребительский сектор и </w:t>
      </w:r>
      <w:r w:rsidRPr="007D78DB">
        <w:rPr>
          <w:lang w:val="en-US"/>
        </w:rPr>
        <w:t>IT</w:t>
      </w:r>
      <w:r w:rsidRPr="00D84AFE">
        <w:t>- с 7% до 3%, промышленность - с 4% до 1%). В топе акций были "Т-технологии" (доля в портфелях акций у инвесторов выросла на 4,1% до 17,8%). "Газпром" почти удвоил показатель до 8%. ВТБ, девелоперы ПИК и "Самолет" вошли в десятку наиболее популярных акций. При этом "Русснефть", "Мечел" и АФК "Система" покинули десятку лидеров.</w:t>
      </w:r>
    </w:p>
    <w:p w14:paraId="460D57F1" w14:textId="77777777" w:rsidR="007D78DB" w:rsidRPr="00D84AFE" w:rsidRDefault="007D78DB" w:rsidP="007D78DB">
      <w:r w:rsidRPr="00D84AFE">
        <w:lastRenderedPageBreak/>
        <w:t xml:space="preserve">Рынок фьючерсов в 2025 г. стал значительно более сбалансированным. </w:t>
      </w:r>
      <w:r w:rsidRPr="007D78DB">
        <w:rPr>
          <w:lang w:val="en-US"/>
        </w:rPr>
        <w:t>E</w:t>
      </w:r>
      <w:r w:rsidRPr="00D84AFE">
        <w:t xml:space="preserve">сли раньше безраздельно доминировал природный газ (38,6%), то теперь его доля снизилась до 15,7%. На первое место вышли индексные стратегии: фьючерсы на индекс Мосбиржи, как стандартные (13,8%), так и "вечные" (9,9%) в сумме занимают почти четверть рынка. Также инвесторы активно наращивали позиции в золоте (до 10,7%), серебре и валюте (юань/рубль и доллар/рубль). Фьючерс на нефть марки </w:t>
      </w:r>
      <w:r w:rsidRPr="007D78DB">
        <w:rPr>
          <w:lang w:val="en-US"/>
        </w:rPr>
        <w:t>Brent</w:t>
      </w:r>
      <w:r w:rsidRPr="00D84AFE">
        <w:t xml:space="preserve"> снизил свою долю в общем обороте до с 8,1 до 5,3%, но, по мнению экспертов, по-прежнему остается значимой частью сырьевого сегмента.</w:t>
      </w:r>
    </w:p>
    <w:p w14:paraId="08F39C36" w14:textId="77777777" w:rsidR="007D78DB" w:rsidRPr="00D84AFE" w:rsidRDefault="007D78DB" w:rsidP="007D78DB">
      <w:r w:rsidRPr="00D84AFE">
        <w:t>Рынок опционов также стал более сбалансированным. Лидерство "Сбера" ослабло: его доля в обороте снизилась с 35,6% до 28,6%, тогда как "Газпром" нарастил присутствие более чем вдвое - до 24,3%, выйдя на второе место. Инвесторы активно переключились на валютные опционы (доля контрактов на юань/рубль выросла до 7%) и защитные активы: интерес к опционам на золото увеличился почти в 10 раз.</w:t>
      </w:r>
    </w:p>
    <w:p w14:paraId="04BC6710" w14:textId="77777777" w:rsidR="007D78DB" w:rsidRPr="00D84AFE" w:rsidRDefault="007D78DB" w:rsidP="007D78DB">
      <w:r w:rsidRPr="00D84AFE">
        <w:t>В 2025 г. клиенты "Финама" проявили повышенный интерес к торговле облигациями и фондами денежного рынка, что соответствует общей рыночной тенденции, говорит заместитель генерального директора по брокерскому бизнесу Дмитрий Леснов.</w:t>
      </w:r>
    </w:p>
    <w:p w14:paraId="4ACA8111" w14:textId="77777777" w:rsidR="007D78DB" w:rsidRPr="00D84AFE" w:rsidRDefault="007D78DB" w:rsidP="007D78DB">
      <w:r w:rsidRPr="00D84AFE">
        <w:t>Ожидания по геополитике и снижению ключевой ставки в 2025 г. не оправдались, что давило на рынок акций и подтолкнуло опытных трейдеров к срочному рынку, говорит Гусев. Притоку интереса способствовали старт торгов деривативами на криптоинструменты и высокая волатильность таких активов, как газ, золото и серебро. Рост среднего чека связан с увеличением доли фьючерсов (из-за встроенного плеча) и популярностью рублевых облигаций, которые не предполагают частотной торговли, считает Гусев.</w:t>
      </w:r>
    </w:p>
    <w:p w14:paraId="55C6421D" w14:textId="77777777" w:rsidR="007D78DB" w:rsidRPr="00D84AFE" w:rsidRDefault="007D78DB" w:rsidP="007D78DB">
      <w:r w:rsidRPr="00D84AFE">
        <w:t>Клиенты испытали мощный эффект упущенной выгоды на фоне роста драгоценных металлов, что побудило их зайти на этот рынок - это хорошо видно по оборотам в товарной секции фьючерсов и опционов на Мосбирже, где росло золото, серебро и другие активы, говорит директор по работе с состоятельными клиентами "БКС мир инвестиций" Роман Носов. Российские акции уже четыре года стагнируют в боковике 2500-3300 пунктов по индексу Мосбиржи. В результате средний чек сделки подскочил, при этом частота операций почти не изменилась - инвесторы купили актив и держат его.</w:t>
      </w:r>
    </w:p>
    <w:p w14:paraId="31E343AE" w14:textId="77777777" w:rsidR="007D78DB" w:rsidRPr="00D84AFE" w:rsidRDefault="007D78DB" w:rsidP="007D78DB">
      <w:r w:rsidRPr="00D84AFE">
        <w:t>Прогноз на 2026 г.</w:t>
      </w:r>
    </w:p>
    <w:p w14:paraId="76A82853" w14:textId="77777777" w:rsidR="007D78DB" w:rsidRPr="00D84AFE" w:rsidRDefault="007D78DB" w:rsidP="007D78DB">
      <w:r w:rsidRPr="00D84AFE">
        <w:t>Контекст 2026 г. формируется продолжением цикла смягчения денежно-кредитных условий: с высокой вероятностью Банк России будет и дальше снижать ключевую ставку, говорится в исследовании. Исторически в такие периоды первым реагирует долговой рынок - за счет роста цен облигаций и снижения доходности. По мере ослабления "процентной" альтернативы инвесторы, как правило, переходят от накопления к более активной пересборке портфелей и постепенно возвращают внимание к акциям.</w:t>
      </w:r>
    </w:p>
    <w:p w14:paraId="2C1FE83F" w14:textId="77777777" w:rsidR="007D78DB" w:rsidRPr="00D84AFE" w:rsidRDefault="007D78DB" w:rsidP="007D78DB">
      <w:r w:rsidRPr="00D84AFE">
        <w:t xml:space="preserve">Ключевым процессом станет не столько наращивание активности, сколько "пересборка портфелей", при этом срочный рынок, вероятно, закрепится в роли основного источника оборота и инструмента хеджирования рисков, считает директор Центра бизнес-образования и аналитики Центрального университета Илья Иванинский. В 2026 г. тенденция прироста крайних возрастных групп может сохраниться и поддержать </w:t>
      </w:r>
      <w:r w:rsidRPr="00D84AFE">
        <w:lastRenderedPageBreak/>
        <w:t>нормализацию инвестирования как регулярного финансового инструмента для разных возрастных групп, отмечает он.</w:t>
      </w:r>
    </w:p>
    <w:p w14:paraId="5F1D8889" w14:textId="77777777" w:rsidR="007D78DB" w:rsidRPr="00D84AFE" w:rsidRDefault="007D78DB" w:rsidP="007D78DB">
      <w:r w:rsidRPr="00D84AFE">
        <w:t>На фоне снижения ставок сохранится опора на рублевые инструменты, при этом усилятся практики ребалансировки портфелей, управления рисками через срочный рынок и расширения инвесторской базы, говорится в исследовании.</w:t>
      </w:r>
    </w:p>
    <w:p w14:paraId="6F182899" w14:textId="0B0BCCD6" w:rsidR="007D78DB" w:rsidRPr="008A72AD" w:rsidRDefault="007D78DB" w:rsidP="007D78DB">
      <w:r w:rsidRPr="008A72AD">
        <w:t>Михаил Спиридонов</w:t>
      </w:r>
    </w:p>
    <w:p w14:paraId="23DCF085" w14:textId="23BB8017" w:rsidR="00741104" w:rsidRPr="00BF5E04" w:rsidRDefault="00741104" w:rsidP="00741104">
      <w:pPr>
        <w:pStyle w:val="2"/>
      </w:pPr>
      <w:bookmarkStart w:id="136" w:name="_Toc222320107"/>
      <w:bookmarkStart w:id="137" w:name="_Toc222380395"/>
      <w:r w:rsidRPr="00BF5E04">
        <w:t xml:space="preserve">Рейтинговое агентство Эксперт РА, 18.02.2026, </w:t>
      </w:r>
      <w:r w:rsidRPr="00BF5E04">
        <w:rPr>
          <w:rFonts w:eastAsia="Verdana"/>
        </w:rPr>
        <w:t>Ключи от капитализации: ставка, спрос и IPO</w:t>
      </w:r>
      <w:bookmarkEnd w:id="136"/>
      <w:bookmarkEnd w:id="137"/>
    </w:p>
    <w:p w14:paraId="6E03DFCD" w14:textId="77777777" w:rsidR="00741104" w:rsidRPr="00741104" w:rsidRDefault="00741104" w:rsidP="001A12F0">
      <w:pPr>
        <w:pStyle w:val="3"/>
      </w:pPr>
      <w:bookmarkStart w:id="138" w:name="_Toc222380396"/>
      <w:r w:rsidRPr="00741104">
        <w:t>За последние пять лет российский фондовый рынок прошел через череду шоков и структурных трансформаций, которые привели к формированию автономной модели функционирования, опирающейся на внутренний капитал и локальную инфраструктуру. Пандемия и низкие ставки в 2020-2021 годах спровоцировали массовый приток розничных инвесторов на биржу в поисках доходности, а присутствие иностранных институциональных инвесторов обеспечивало рынок капиталом.</w:t>
      </w:r>
      <w:bookmarkEnd w:id="138"/>
      <w:r w:rsidRPr="00741104">
        <w:t xml:space="preserve"> </w:t>
      </w:r>
    </w:p>
    <w:p w14:paraId="25ADB23C" w14:textId="77777777" w:rsidR="00741104" w:rsidRPr="00741104" w:rsidRDefault="00741104" w:rsidP="00741104">
      <w:r w:rsidRPr="00741104">
        <w:t>Шок 2022 года привел к падению, индексов и уходу иностранного капитала - рынок лишился внешнего финансирования и стал опираться на внутренние ресурсы. Восстановление в 2023-2024 годах обеспечили розничные инвесторы, однако затем жесткая денежно-кредитная политика Банка России сделала акции непривлекательными по сравнению с банковскими депозитами и фактически парализовала рынок IPO в 2025 году. Восстановление рынка первичных размещений ожидается в 2026 году благодаря смягчению регулятором денежно-кредитной политики, которое может стать триггером для переоценки активов и запуска новых размещений на фоне притока ликвидности на фондовый рынок. Благоприятные макроэкономические условия в сочетании с мерами поддержки государства для выхода компаний на биржу могут позволить рынку в 2026-м аккумулировать объем ликвидности для первичных размещений в размере 50-100 млрд рублей, а само количество размещений довести до 20 штук.</w:t>
      </w:r>
    </w:p>
    <w:p w14:paraId="139B7DE4" w14:textId="77777777" w:rsidR="00741104" w:rsidRPr="00741104" w:rsidRDefault="00741104" w:rsidP="00741104">
      <w:r w:rsidRPr="00741104">
        <w:t>Структурная трансформация рынка в 2020-2025 годах: опора на внутренний капитал и локальную инфраструктуру</w:t>
      </w:r>
    </w:p>
    <w:p w14:paraId="4F39625A" w14:textId="77777777" w:rsidR="00741104" w:rsidRPr="00741104" w:rsidRDefault="00741104" w:rsidP="00741104">
      <w:r w:rsidRPr="00741104">
        <w:t>Локальный пик размещений в 2020-2021 годах</w:t>
      </w:r>
    </w:p>
    <w:p w14:paraId="677EFE52" w14:textId="77777777" w:rsidR="00741104" w:rsidRPr="00741104" w:rsidRDefault="00741104" w:rsidP="00741104">
      <w:r w:rsidRPr="00741104">
        <w:t>Период 2020-2021 годов был временем, когда российский фондовый рынок являлся частью мировой финансовой системы. В эти годы компании активно выходили на биржи (часто выбирая двойной листинг - одновременно в Москве, а также Лондоне или Нью-Йорке), а основными покупателями выступали иностранные фонды. Кроме того, в 2020-2021 годах пандемия и низкие процентные ставки подтолкнули миллионы россиян к открытию брокерских счетов через мобильные приложения. Сформировалась масса частных инвесторов, которые позже стали основной опорой рынка после ухода иностранных инвесторов.</w:t>
      </w:r>
    </w:p>
    <w:p w14:paraId="0DEF71A6" w14:textId="77777777" w:rsidR="00741104" w:rsidRPr="00741104" w:rsidRDefault="00741104" w:rsidP="00741104">
      <w:r w:rsidRPr="00741104">
        <w:t>Таблица 1. Результаты IPO в 2020-2021 годах</w:t>
      </w:r>
    </w:p>
    <w:tbl>
      <w:tblPr>
        <w:tblW w:w="0" w:type="auto"/>
        <w:tblCellSpacing w:w="0" w:type="dxa"/>
        <w:tblCellMar>
          <w:left w:w="0" w:type="dxa"/>
          <w:right w:w="0" w:type="dxa"/>
        </w:tblCellMar>
        <w:tblLook w:val="04A0" w:firstRow="1" w:lastRow="0" w:firstColumn="1" w:lastColumn="0" w:noHBand="0" w:noVBand="1"/>
      </w:tblPr>
      <w:tblGrid>
        <w:gridCol w:w="2431"/>
        <w:gridCol w:w="4108"/>
        <w:gridCol w:w="2532"/>
      </w:tblGrid>
      <w:tr w:rsidR="00741104" w:rsidRPr="00741104" w14:paraId="3623569F" w14:textId="77777777" w:rsidTr="00C547F5">
        <w:trPr>
          <w:tblCellSpacing w:w="0" w:type="dxa"/>
        </w:trPr>
        <w:tc>
          <w:tcPr>
            <w:tcW w:w="0" w:type="auto"/>
            <w:vAlign w:val="center"/>
          </w:tcPr>
          <w:p w14:paraId="35E7A953" w14:textId="77777777" w:rsidR="00741104" w:rsidRPr="00741104" w:rsidRDefault="00741104" w:rsidP="00741104">
            <w:r w:rsidRPr="00741104">
              <w:t xml:space="preserve"> Компания</w:t>
            </w:r>
          </w:p>
        </w:tc>
        <w:tc>
          <w:tcPr>
            <w:tcW w:w="0" w:type="auto"/>
            <w:vAlign w:val="center"/>
          </w:tcPr>
          <w:p w14:paraId="13579B97" w14:textId="77777777" w:rsidR="00741104" w:rsidRPr="00741104" w:rsidRDefault="00741104" w:rsidP="00741104">
            <w:r w:rsidRPr="00741104">
              <w:t xml:space="preserve"> Сектор</w:t>
            </w:r>
          </w:p>
        </w:tc>
        <w:tc>
          <w:tcPr>
            <w:tcW w:w="0" w:type="auto"/>
            <w:vAlign w:val="center"/>
          </w:tcPr>
          <w:p w14:paraId="22F89971" w14:textId="77777777" w:rsidR="00741104" w:rsidRPr="00741104" w:rsidRDefault="00741104" w:rsidP="00741104">
            <w:r w:rsidRPr="00741104">
              <w:t xml:space="preserve"> Объем привлечения, млрд руб.</w:t>
            </w:r>
          </w:p>
        </w:tc>
      </w:tr>
      <w:tr w:rsidR="00741104" w:rsidRPr="00741104" w14:paraId="2C58797F" w14:textId="77777777" w:rsidTr="00C547F5">
        <w:trPr>
          <w:tblCellSpacing w:w="0" w:type="dxa"/>
        </w:trPr>
        <w:tc>
          <w:tcPr>
            <w:tcW w:w="0" w:type="auto"/>
            <w:gridSpan w:val="3"/>
            <w:vAlign w:val="center"/>
          </w:tcPr>
          <w:p w14:paraId="04BEF20C" w14:textId="77777777" w:rsidR="00741104" w:rsidRPr="00741104" w:rsidRDefault="00741104" w:rsidP="00741104">
            <w:r w:rsidRPr="00741104">
              <w:lastRenderedPageBreak/>
              <w:t xml:space="preserve"> 2020</w:t>
            </w:r>
          </w:p>
        </w:tc>
      </w:tr>
      <w:tr w:rsidR="00741104" w:rsidRPr="00741104" w14:paraId="0627A488" w14:textId="77777777" w:rsidTr="00C547F5">
        <w:trPr>
          <w:tblCellSpacing w:w="0" w:type="dxa"/>
        </w:trPr>
        <w:tc>
          <w:tcPr>
            <w:tcW w:w="0" w:type="auto"/>
            <w:vAlign w:val="center"/>
          </w:tcPr>
          <w:p w14:paraId="5939CD62" w14:textId="77777777" w:rsidR="00741104" w:rsidRPr="00741104" w:rsidRDefault="00741104" w:rsidP="00741104">
            <w:r w:rsidRPr="00741104">
              <w:t xml:space="preserve"> Ozon</w:t>
            </w:r>
          </w:p>
        </w:tc>
        <w:tc>
          <w:tcPr>
            <w:tcW w:w="0" w:type="auto"/>
            <w:vAlign w:val="center"/>
          </w:tcPr>
          <w:p w14:paraId="1989170C" w14:textId="77777777" w:rsidR="00741104" w:rsidRPr="00741104" w:rsidRDefault="00741104" w:rsidP="00741104">
            <w:r w:rsidRPr="00741104">
              <w:t xml:space="preserve"> E-commerce</w:t>
            </w:r>
          </w:p>
        </w:tc>
        <w:tc>
          <w:tcPr>
            <w:tcW w:w="0" w:type="auto"/>
            <w:vAlign w:val="center"/>
          </w:tcPr>
          <w:p w14:paraId="3B45F729" w14:textId="77777777" w:rsidR="00741104" w:rsidRPr="00741104" w:rsidRDefault="00741104" w:rsidP="00741104">
            <w:r w:rsidRPr="00741104">
              <w:t xml:space="preserve"> 96</w:t>
            </w:r>
          </w:p>
        </w:tc>
      </w:tr>
      <w:tr w:rsidR="00741104" w:rsidRPr="00741104" w14:paraId="042F7FC3" w14:textId="77777777" w:rsidTr="00C547F5">
        <w:trPr>
          <w:tblCellSpacing w:w="0" w:type="dxa"/>
        </w:trPr>
        <w:tc>
          <w:tcPr>
            <w:tcW w:w="0" w:type="auto"/>
            <w:vAlign w:val="center"/>
          </w:tcPr>
          <w:p w14:paraId="39DFB792" w14:textId="714FE9A7" w:rsidR="00741104" w:rsidRPr="00741104" w:rsidRDefault="00741104" w:rsidP="00741104">
            <w:r w:rsidRPr="00741104">
              <w:t xml:space="preserve"> </w:t>
            </w:r>
            <w:r w:rsidR="00401C97">
              <w:t>«</w:t>
            </w:r>
            <w:r w:rsidRPr="00741104">
              <w:t>Совкомфлот</w:t>
            </w:r>
            <w:r w:rsidR="00401C97">
              <w:t>»</w:t>
            </w:r>
          </w:p>
        </w:tc>
        <w:tc>
          <w:tcPr>
            <w:tcW w:w="0" w:type="auto"/>
            <w:vAlign w:val="center"/>
          </w:tcPr>
          <w:p w14:paraId="56921E6D" w14:textId="77777777" w:rsidR="00741104" w:rsidRPr="00741104" w:rsidRDefault="00741104" w:rsidP="00741104">
            <w:r w:rsidRPr="00741104">
              <w:t xml:space="preserve"> Транспорт/логистика</w:t>
            </w:r>
          </w:p>
        </w:tc>
        <w:tc>
          <w:tcPr>
            <w:tcW w:w="0" w:type="auto"/>
            <w:vAlign w:val="center"/>
          </w:tcPr>
          <w:p w14:paraId="3EA612E4" w14:textId="77777777" w:rsidR="00741104" w:rsidRPr="00741104" w:rsidRDefault="00741104" w:rsidP="00741104">
            <w:r w:rsidRPr="00741104">
              <w:t xml:space="preserve"> 43</w:t>
            </w:r>
          </w:p>
        </w:tc>
      </w:tr>
      <w:tr w:rsidR="00741104" w:rsidRPr="00741104" w14:paraId="39672AE0" w14:textId="77777777" w:rsidTr="00C547F5">
        <w:trPr>
          <w:tblCellSpacing w:w="0" w:type="dxa"/>
        </w:trPr>
        <w:tc>
          <w:tcPr>
            <w:tcW w:w="0" w:type="auto"/>
            <w:vAlign w:val="center"/>
          </w:tcPr>
          <w:p w14:paraId="2D450188" w14:textId="50C99D76" w:rsidR="00741104" w:rsidRPr="00741104" w:rsidRDefault="00741104" w:rsidP="00741104">
            <w:r w:rsidRPr="00741104">
              <w:t xml:space="preserve"> Группа </w:t>
            </w:r>
            <w:r w:rsidR="00401C97">
              <w:t>«</w:t>
            </w:r>
            <w:r w:rsidRPr="00741104">
              <w:t>Мать и дитя</w:t>
            </w:r>
            <w:r w:rsidR="00401C97">
              <w:t>»</w:t>
            </w:r>
            <w:r w:rsidRPr="00741104">
              <w:t xml:space="preserve"> </w:t>
            </w:r>
          </w:p>
        </w:tc>
        <w:tc>
          <w:tcPr>
            <w:tcW w:w="0" w:type="auto"/>
            <w:vAlign w:val="center"/>
          </w:tcPr>
          <w:p w14:paraId="4B587FE5" w14:textId="77777777" w:rsidR="00741104" w:rsidRPr="00741104" w:rsidRDefault="00741104" w:rsidP="00741104">
            <w:r w:rsidRPr="00741104">
              <w:t xml:space="preserve"> Медицина</w:t>
            </w:r>
          </w:p>
        </w:tc>
        <w:tc>
          <w:tcPr>
            <w:tcW w:w="0" w:type="auto"/>
            <w:vAlign w:val="center"/>
          </w:tcPr>
          <w:p w14:paraId="1D2F4498" w14:textId="77777777" w:rsidR="00741104" w:rsidRPr="00741104" w:rsidRDefault="00741104" w:rsidP="00741104">
            <w:r w:rsidRPr="00741104">
              <w:t xml:space="preserve"> 12</w:t>
            </w:r>
          </w:p>
        </w:tc>
      </w:tr>
      <w:tr w:rsidR="00741104" w:rsidRPr="00741104" w14:paraId="0E902447" w14:textId="77777777" w:rsidTr="00C547F5">
        <w:trPr>
          <w:tblCellSpacing w:w="0" w:type="dxa"/>
        </w:trPr>
        <w:tc>
          <w:tcPr>
            <w:tcW w:w="0" w:type="auto"/>
            <w:vAlign w:val="center"/>
          </w:tcPr>
          <w:p w14:paraId="45E49AEE" w14:textId="72BFE989" w:rsidR="00741104" w:rsidRPr="00741104" w:rsidRDefault="00741104" w:rsidP="00741104">
            <w:r w:rsidRPr="00741104">
              <w:t xml:space="preserve"> Группа </w:t>
            </w:r>
            <w:r w:rsidR="00401C97">
              <w:t>«</w:t>
            </w:r>
            <w:r w:rsidRPr="00741104">
              <w:t>Самолет</w:t>
            </w:r>
            <w:r w:rsidR="00401C97">
              <w:t>»</w:t>
            </w:r>
          </w:p>
        </w:tc>
        <w:tc>
          <w:tcPr>
            <w:tcW w:w="0" w:type="auto"/>
            <w:vAlign w:val="center"/>
          </w:tcPr>
          <w:p w14:paraId="6E188835" w14:textId="77777777" w:rsidR="00741104" w:rsidRPr="00741104" w:rsidRDefault="00741104" w:rsidP="00741104">
            <w:r w:rsidRPr="00741104">
              <w:t xml:space="preserve"> Девелопмент</w:t>
            </w:r>
          </w:p>
        </w:tc>
        <w:tc>
          <w:tcPr>
            <w:tcW w:w="0" w:type="auto"/>
            <w:vAlign w:val="center"/>
          </w:tcPr>
          <w:p w14:paraId="3E2E3ABC" w14:textId="77777777" w:rsidR="00741104" w:rsidRPr="00741104" w:rsidRDefault="00741104" w:rsidP="00741104">
            <w:r w:rsidRPr="00741104">
              <w:t xml:space="preserve"> 2,9</w:t>
            </w:r>
          </w:p>
        </w:tc>
      </w:tr>
      <w:tr w:rsidR="00741104" w:rsidRPr="00741104" w14:paraId="0D56620E" w14:textId="77777777" w:rsidTr="00C547F5">
        <w:trPr>
          <w:tblCellSpacing w:w="0" w:type="dxa"/>
        </w:trPr>
        <w:tc>
          <w:tcPr>
            <w:tcW w:w="0" w:type="auto"/>
            <w:vAlign w:val="center"/>
          </w:tcPr>
          <w:p w14:paraId="4ACC7370" w14:textId="77777777" w:rsidR="00741104" w:rsidRPr="00741104" w:rsidRDefault="00741104" w:rsidP="00741104">
            <w:r w:rsidRPr="00741104">
              <w:t xml:space="preserve"> Итого</w:t>
            </w:r>
          </w:p>
        </w:tc>
        <w:tc>
          <w:tcPr>
            <w:tcW w:w="0" w:type="auto"/>
            <w:vAlign w:val="center"/>
          </w:tcPr>
          <w:p w14:paraId="207559A5" w14:textId="77777777" w:rsidR="00741104" w:rsidRPr="00741104" w:rsidRDefault="00741104" w:rsidP="00741104">
            <w:r w:rsidRPr="00741104">
              <w:t xml:space="preserve"> </w:t>
            </w:r>
          </w:p>
        </w:tc>
        <w:tc>
          <w:tcPr>
            <w:tcW w:w="0" w:type="auto"/>
            <w:vAlign w:val="center"/>
          </w:tcPr>
          <w:p w14:paraId="50FCCD22" w14:textId="77777777" w:rsidR="00741104" w:rsidRPr="00741104" w:rsidRDefault="00741104" w:rsidP="00741104">
            <w:r w:rsidRPr="00741104">
              <w:t xml:space="preserve"> 154</w:t>
            </w:r>
          </w:p>
        </w:tc>
      </w:tr>
      <w:tr w:rsidR="00741104" w:rsidRPr="00741104" w14:paraId="7CD26CAF" w14:textId="77777777" w:rsidTr="00C547F5">
        <w:trPr>
          <w:tblCellSpacing w:w="0" w:type="dxa"/>
        </w:trPr>
        <w:tc>
          <w:tcPr>
            <w:tcW w:w="0" w:type="auto"/>
            <w:gridSpan w:val="3"/>
            <w:vAlign w:val="center"/>
          </w:tcPr>
          <w:p w14:paraId="45FC5840" w14:textId="77777777" w:rsidR="00741104" w:rsidRPr="00741104" w:rsidRDefault="00741104" w:rsidP="00741104">
            <w:r w:rsidRPr="00741104">
              <w:t xml:space="preserve"> 2021</w:t>
            </w:r>
          </w:p>
        </w:tc>
      </w:tr>
      <w:tr w:rsidR="00741104" w:rsidRPr="00741104" w14:paraId="217990F8" w14:textId="77777777" w:rsidTr="00C547F5">
        <w:trPr>
          <w:tblCellSpacing w:w="0" w:type="dxa"/>
        </w:trPr>
        <w:tc>
          <w:tcPr>
            <w:tcW w:w="0" w:type="auto"/>
            <w:vAlign w:val="center"/>
          </w:tcPr>
          <w:p w14:paraId="2FA062D2" w14:textId="77777777" w:rsidR="00741104" w:rsidRPr="00741104" w:rsidRDefault="00741104" w:rsidP="00741104">
            <w:r w:rsidRPr="00741104">
              <w:t xml:space="preserve"> Fix Price </w:t>
            </w:r>
          </w:p>
        </w:tc>
        <w:tc>
          <w:tcPr>
            <w:tcW w:w="0" w:type="auto"/>
            <w:vAlign w:val="center"/>
          </w:tcPr>
          <w:p w14:paraId="36FBE5D6" w14:textId="77777777" w:rsidR="00741104" w:rsidRPr="00741104" w:rsidRDefault="00741104" w:rsidP="00741104">
            <w:r w:rsidRPr="00741104">
              <w:t xml:space="preserve"> Торговля </w:t>
            </w:r>
          </w:p>
        </w:tc>
        <w:tc>
          <w:tcPr>
            <w:tcW w:w="0" w:type="auto"/>
            <w:vAlign w:val="center"/>
          </w:tcPr>
          <w:p w14:paraId="78AD0A85" w14:textId="77777777" w:rsidR="00741104" w:rsidRPr="00741104" w:rsidRDefault="00741104" w:rsidP="00741104">
            <w:r w:rsidRPr="00741104">
              <w:t xml:space="preserve"> 145 </w:t>
            </w:r>
          </w:p>
        </w:tc>
      </w:tr>
      <w:tr w:rsidR="00741104" w:rsidRPr="00741104" w14:paraId="53EA2AB2" w14:textId="77777777" w:rsidTr="00C547F5">
        <w:trPr>
          <w:tblCellSpacing w:w="0" w:type="dxa"/>
        </w:trPr>
        <w:tc>
          <w:tcPr>
            <w:tcW w:w="0" w:type="auto"/>
            <w:vAlign w:val="center"/>
          </w:tcPr>
          <w:p w14:paraId="4FBB4F49" w14:textId="5B45EE1A" w:rsidR="00741104" w:rsidRPr="00741104" w:rsidRDefault="00741104" w:rsidP="00741104">
            <w:r w:rsidRPr="00741104">
              <w:t xml:space="preserve"> </w:t>
            </w:r>
            <w:r w:rsidR="00401C97">
              <w:t>«</w:t>
            </w:r>
            <w:r w:rsidRPr="00741104">
              <w:t>Сегежа групп</w:t>
            </w:r>
            <w:r w:rsidR="00401C97">
              <w:t>»</w:t>
            </w:r>
            <w:r w:rsidRPr="00741104">
              <w:t xml:space="preserve"> </w:t>
            </w:r>
          </w:p>
        </w:tc>
        <w:tc>
          <w:tcPr>
            <w:tcW w:w="0" w:type="auto"/>
            <w:vAlign w:val="center"/>
          </w:tcPr>
          <w:p w14:paraId="5FDD9183" w14:textId="77777777" w:rsidR="00741104" w:rsidRPr="00741104" w:rsidRDefault="00741104" w:rsidP="00741104">
            <w:r w:rsidRPr="00741104">
              <w:t xml:space="preserve"> Лесопромышленность </w:t>
            </w:r>
          </w:p>
        </w:tc>
        <w:tc>
          <w:tcPr>
            <w:tcW w:w="0" w:type="auto"/>
            <w:vAlign w:val="center"/>
          </w:tcPr>
          <w:p w14:paraId="5224414E" w14:textId="77777777" w:rsidR="00741104" w:rsidRPr="00741104" w:rsidRDefault="00741104" w:rsidP="00741104">
            <w:r w:rsidRPr="00741104">
              <w:t xml:space="preserve"> 30 </w:t>
            </w:r>
          </w:p>
        </w:tc>
      </w:tr>
      <w:tr w:rsidR="00741104" w:rsidRPr="00741104" w14:paraId="43E8EFDB" w14:textId="77777777" w:rsidTr="00C547F5">
        <w:trPr>
          <w:tblCellSpacing w:w="0" w:type="dxa"/>
        </w:trPr>
        <w:tc>
          <w:tcPr>
            <w:tcW w:w="0" w:type="auto"/>
            <w:vAlign w:val="center"/>
          </w:tcPr>
          <w:p w14:paraId="5974D4F1" w14:textId="77777777" w:rsidR="00741104" w:rsidRPr="00741104" w:rsidRDefault="00741104" w:rsidP="00741104">
            <w:r w:rsidRPr="00741104">
              <w:t xml:space="preserve"> EMC (United Medical Group) </w:t>
            </w:r>
          </w:p>
        </w:tc>
        <w:tc>
          <w:tcPr>
            <w:tcW w:w="0" w:type="auto"/>
            <w:vAlign w:val="center"/>
          </w:tcPr>
          <w:p w14:paraId="7219F910" w14:textId="77777777" w:rsidR="00741104" w:rsidRPr="00741104" w:rsidRDefault="00741104" w:rsidP="00741104">
            <w:r w:rsidRPr="00741104">
              <w:t xml:space="preserve"> Медицина </w:t>
            </w:r>
          </w:p>
        </w:tc>
        <w:tc>
          <w:tcPr>
            <w:tcW w:w="0" w:type="auto"/>
            <w:vAlign w:val="center"/>
          </w:tcPr>
          <w:p w14:paraId="6974E102" w14:textId="77777777" w:rsidR="00741104" w:rsidRPr="00741104" w:rsidRDefault="00741104" w:rsidP="00741104">
            <w:r w:rsidRPr="00741104">
              <w:t xml:space="preserve"> 37 </w:t>
            </w:r>
          </w:p>
        </w:tc>
      </w:tr>
      <w:tr w:rsidR="00741104" w:rsidRPr="00741104" w14:paraId="56AF6797" w14:textId="77777777" w:rsidTr="00C547F5">
        <w:trPr>
          <w:tblCellSpacing w:w="0" w:type="dxa"/>
        </w:trPr>
        <w:tc>
          <w:tcPr>
            <w:tcW w:w="0" w:type="auto"/>
            <w:vAlign w:val="center"/>
          </w:tcPr>
          <w:p w14:paraId="5A466E23" w14:textId="77777777" w:rsidR="00741104" w:rsidRPr="00741104" w:rsidRDefault="00741104" w:rsidP="00741104">
            <w:r w:rsidRPr="00741104">
              <w:t xml:space="preserve"> Softline </w:t>
            </w:r>
          </w:p>
        </w:tc>
        <w:tc>
          <w:tcPr>
            <w:tcW w:w="0" w:type="auto"/>
            <w:vAlign w:val="center"/>
          </w:tcPr>
          <w:p w14:paraId="5AFC1CCA" w14:textId="77777777" w:rsidR="00741104" w:rsidRPr="00741104" w:rsidRDefault="00741104" w:rsidP="00741104">
            <w:r w:rsidRPr="00741104">
              <w:t xml:space="preserve"> IT </w:t>
            </w:r>
          </w:p>
        </w:tc>
        <w:tc>
          <w:tcPr>
            <w:tcW w:w="0" w:type="auto"/>
            <w:vAlign w:val="center"/>
          </w:tcPr>
          <w:p w14:paraId="14E956B0" w14:textId="77777777" w:rsidR="00741104" w:rsidRPr="00741104" w:rsidRDefault="00741104" w:rsidP="00741104">
            <w:r w:rsidRPr="00741104">
              <w:t xml:space="preserve"> 28 </w:t>
            </w:r>
          </w:p>
        </w:tc>
      </w:tr>
      <w:tr w:rsidR="00741104" w:rsidRPr="00741104" w14:paraId="6B707175" w14:textId="77777777" w:rsidTr="00C547F5">
        <w:trPr>
          <w:tblCellSpacing w:w="0" w:type="dxa"/>
        </w:trPr>
        <w:tc>
          <w:tcPr>
            <w:tcW w:w="0" w:type="auto"/>
            <w:vAlign w:val="center"/>
          </w:tcPr>
          <w:p w14:paraId="2225FAE7" w14:textId="277CA0B8" w:rsidR="00741104" w:rsidRPr="00741104" w:rsidRDefault="00741104" w:rsidP="00741104">
            <w:r w:rsidRPr="00741104">
              <w:t xml:space="preserve"> </w:t>
            </w:r>
            <w:r w:rsidR="00401C97">
              <w:t>«</w:t>
            </w:r>
            <w:r w:rsidRPr="00741104">
              <w:t>Ренесанс страхование</w:t>
            </w:r>
            <w:r w:rsidR="00401C97">
              <w:t>»</w:t>
            </w:r>
          </w:p>
        </w:tc>
        <w:tc>
          <w:tcPr>
            <w:tcW w:w="0" w:type="auto"/>
            <w:vAlign w:val="center"/>
          </w:tcPr>
          <w:p w14:paraId="26172ABD" w14:textId="77777777" w:rsidR="00741104" w:rsidRPr="00741104" w:rsidRDefault="00741104" w:rsidP="00741104">
            <w:r w:rsidRPr="00741104">
              <w:t xml:space="preserve"> Страхование</w:t>
            </w:r>
          </w:p>
        </w:tc>
        <w:tc>
          <w:tcPr>
            <w:tcW w:w="0" w:type="auto"/>
            <w:vAlign w:val="center"/>
          </w:tcPr>
          <w:p w14:paraId="61CF5EB0" w14:textId="77777777" w:rsidR="00741104" w:rsidRPr="00741104" w:rsidRDefault="00741104" w:rsidP="00741104">
            <w:r w:rsidRPr="00741104">
              <w:t xml:space="preserve"> 18</w:t>
            </w:r>
          </w:p>
        </w:tc>
      </w:tr>
      <w:tr w:rsidR="00741104" w:rsidRPr="00741104" w14:paraId="0ACEF008" w14:textId="77777777" w:rsidTr="00C547F5">
        <w:trPr>
          <w:tblCellSpacing w:w="0" w:type="dxa"/>
        </w:trPr>
        <w:tc>
          <w:tcPr>
            <w:tcW w:w="0" w:type="auto"/>
            <w:vAlign w:val="center"/>
          </w:tcPr>
          <w:p w14:paraId="53BD8871" w14:textId="05F0F22C" w:rsidR="00741104" w:rsidRPr="00741104" w:rsidRDefault="00741104" w:rsidP="00741104">
            <w:r w:rsidRPr="00741104">
              <w:t xml:space="preserve"> </w:t>
            </w:r>
            <w:r w:rsidR="00401C97">
              <w:t>«</w:t>
            </w:r>
            <w:r w:rsidRPr="00741104">
              <w:t>Циан</w:t>
            </w:r>
            <w:r w:rsidR="00401C97">
              <w:t>»</w:t>
            </w:r>
          </w:p>
        </w:tc>
        <w:tc>
          <w:tcPr>
            <w:tcW w:w="0" w:type="auto"/>
            <w:vAlign w:val="center"/>
          </w:tcPr>
          <w:p w14:paraId="29284978" w14:textId="77777777" w:rsidR="00741104" w:rsidRPr="00741104" w:rsidRDefault="00741104" w:rsidP="00741104">
            <w:r w:rsidRPr="00741104">
              <w:t xml:space="preserve"> Платформа по продажи недвижимости</w:t>
            </w:r>
          </w:p>
        </w:tc>
        <w:tc>
          <w:tcPr>
            <w:tcW w:w="0" w:type="auto"/>
            <w:vAlign w:val="center"/>
          </w:tcPr>
          <w:p w14:paraId="09974216" w14:textId="77777777" w:rsidR="00741104" w:rsidRPr="00741104" w:rsidRDefault="00741104" w:rsidP="00741104">
            <w:r w:rsidRPr="00741104">
              <w:t xml:space="preserve"> 21</w:t>
            </w:r>
          </w:p>
        </w:tc>
      </w:tr>
      <w:tr w:rsidR="00741104" w:rsidRPr="00741104" w14:paraId="2183412D" w14:textId="77777777" w:rsidTr="00C547F5">
        <w:trPr>
          <w:tblCellSpacing w:w="0" w:type="dxa"/>
        </w:trPr>
        <w:tc>
          <w:tcPr>
            <w:tcW w:w="0" w:type="auto"/>
            <w:vAlign w:val="center"/>
          </w:tcPr>
          <w:p w14:paraId="3FDB1290" w14:textId="77777777" w:rsidR="00741104" w:rsidRPr="00741104" w:rsidRDefault="00741104" w:rsidP="00741104">
            <w:r w:rsidRPr="00741104">
              <w:t xml:space="preserve"> СПБ биржа</w:t>
            </w:r>
          </w:p>
        </w:tc>
        <w:tc>
          <w:tcPr>
            <w:tcW w:w="0" w:type="auto"/>
            <w:vAlign w:val="center"/>
          </w:tcPr>
          <w:p w14:paraId="5263E5DE" w14:textId="77777777" w:rsidR="00741104" w:rsidRPr="00741104" w:rsidRDefault="00741104" w:rsidP="00741104">
            <w:r w:rsidRPr="00741104">
              <w:t xml:space="preserve"> Торговая площадка финансовыми инструментами</w:t>
            </w:r>
          </w:p>
        </w:tc>
        <w:tc>
          <w:tcPr>
            <w:tcW w:w="0" w:type="auto"/>
            <w:vAlign w:val="center"/>
          </w:tcPr>
          <w:p w14:paraId="5D766165" w14:textId="77777777" w:rsidR="00741104" w:rsidRPr="00741104" w:rsidRDefault="00741104" w:rsidP="00741104">
            <w:r w:rsidRPr="00741104">
              <w:t xml:space="preserve"> 11</w:t>
            </w:r>
          </w:p>
        </w:tc>
      </w:tr>
      <w:tr w:rsidR="00741104" w:rsidRPr="00741104" w14:paraId="21B1CE5E" w14:textId="77777777" w:rsidTr="00C547F5">
        <w:trPr>
          <w:tblCellSpacing w:w="0" w:type="dxa"/>
        </w:trPr>
        <w:tc>
          <w:tcPr>
            <w:tcW w:w="0" w:type="auto"/>
            <w:vAlign w:val="center"/>
          </w:tcPr>
          <w:p w14:paraId="43681AE3" w14:textId="77777777" w:rsidR="00741104" w:rsidRPr="00741104" w:rsidRDefault="00741104" w:rsidP="00741104">
            <w:r w:rsidRPr="00741104">
              <w:t xml:space="preserve"> Итого</w:t>
            </w:r>
          </w:p>
        </w:tc>
        <w:tc>
          <w:tcPr>
            <w:tcW w:w="0" w:type="auto"/>
            <w:vAlign w:val="center"/>
          </w:tcPr>
          <w:p w14:paraId="0BDC5182" w14:textId="77777777" w:rsidR="00741104" w:rsidRPr="00741104" w:rsidRDefault="00741104" w:rsidP="00741104">
            <w:r w:rsidRPr="00741104">
              <w:t xml:space="preserve"> </w:t>
            </w:r>
          </w:p>
        </w:tc>
        <w:tc>
          <w:tcPr>
            <w:tcW w:w="0" w:type="auto"/>
            <w:vAlign w:val="center"/>
          </w:tcPr>
          <w:p w14:paraId="1E2F8FF1" w14:textId="77777777" w:rsidR="00741104" w:rsidRPr="00741104" w:rsidRDefault="00741104" w:rsidP="00741104">
            <w:r w:rsidRPr="00741104">
              <w:t xml:space="preserve"> 290</w:t>
            </w:r>
          </w:p>
        </w:tc>
      </w:tr>
    </w:tbl>
    <w:p w14:paraId="5E4EB648" w14:textId="7EF4179D" w:rsidR="00741104" w:rsidRPr="00741104" w:rsidRDefault="00741104" w:rsidP="00741104">
      <w:r w:rsidRPr="00741104">
        <w:t xml:space="preserve">Источник: ПАО </w:t>
      </w:r>
      <w:r w:rsidR="00401C97">
        <w:t>«</w:t>
      </w:r>
      <w:r w:rsidRPr="00741104">
        <w:t>Московская биржа</w:t>
      </w:r>
      <w:r w:rsidR="00401C97">
        <w:t>»</w:t>
      </w:r>
      <w:r w:rsidRPr="00741104">
        <w:t xml:space="preserve">, РБК, </w:t>
      </w:r>
      <w:r w:rsidR="00401C97">
        <w:t>«</w:t>
      </w:r>
      <w:r w:rsidRPr="00741104">
        <w:t>Интерфакс</w:t>
      </w:r>
      <w:r w:rsidR="00401C97">
        <w:t>»</w:t>
      </w:r>
    </w:p>
    <w:p w14:paraId="0CB3C3B9" w14:textId="77777777" w:rsidR="00741104" w:rsidRPr="00741104" w:rsidRDefault="00741104" w:rsidP="00741104">
      <w:r w:rsidRPr="00741104">
        <w:t>2022 год: точка поворота</w:t>
      </w:r>
    </w:p>
    <w:p w14:paraId="67684255" w14:textId="77777777" w:rsidR="00741104" w:rsidRPr="00741104" w:rsidRDefault="00741104" w:rsidP="00741104">
      <w:r w:rsidRPr="00741104">
        <w:t>2022 год стал сложным периодом для российского фондового рынка из-за макроэкономической волатильности и временной приостановки торгов. Введение санкций в 2022 году привело к заморозке моста между российским НРД (Национальным расчетным депозитарием) и международными депозитариями. Торги иностранными ценными бумаги для большинства инвесторов стали недоступны, а активы нерезидентов из недружественных государств оказались заблокированы.</w:t>
      </w:r>
    </w:p>
    <w:p w14:paraId="25C5A493" w14:textId="77777777" w:rsidR="00741104" w:rsidRPr="00741104" w:rsidRDefault="00741104" w:rsidP="00741104">
      <w:r w:rsidRPr="00741104">
        <w:t>Инвесторы находились в состоянии шока, инфраструктура сделала невозможным участие иностранных фондов, окно IPO практически закрылось, многие компании, планировавшие выход - отменили или перенесли размещение. По итогам 2022 года состоялось лишь одно размещение.</w:t>
      </w:r>
    </w:p>
    <w:p w14:paraId="2A47723F" w14:textId="77777777" w:rsidR="00741104" w:rsidRPr="00741104" w:rsidRDefault="00741104" w:rsidP="00741104">
      <w:r w:rsidRPr="00741104">
        <w:t>Таблица 2. Результаты IPO в 2022 году</w:t>
      </w:r>
    </w:p>
    <w:tbl>
      <w:tblPr>
        <w:tblW w:w="0" w:type="auto"/>
        <w:tblCellSpacing w:w="0" w:type="dxa"/>
        <w:tblCellMar>
          <w:left w:w="0" w:type="dxa"/>
          <w:right w:w="0" w:type="dxa"/>
        </w:tblCellMar>
        <w:tblLook w:val="04A0" w:firstRow="1" w:lastRow="0" w:firstColumn="1" w:lastColumn="0" w:noHBand="0" w:noVBand="1"/>
      </w:tblPr>
      <w:tblGrid>
        <w:gridCol w:w="3205"/>
        <w:gridCol w:w="2734"/>
        <w:gridCol w:w="3132"/>
      </w:tblGrid>
      <w:tr w:rsidR="00741104" w:rsidRPr="00741104" w14:paraId="7275518D" w14:textId="77777777" w:rsidTr="00C547F5">
        <w:trPr>
          <w:tblCellSpacing w:w="0" w:type="dxa"/>
        </w:trPr>
        <w:tc>
          <w:tcPr>
            <w:tcW w:w="0" w:type="auto"/>
            <w:vAlign w:val="center"/>
          </w:tcPr>
          <w:p w14:paraId="11F6A25F" w14:textId="77777777" w:rsidR="00741104" w:rsidRPr="00741104" w:rsidRDefault="00741104" w:rsidP="00741104">
            <w:r w:rsidRPr="00741104">
              <w:t xml:space="preserve"> Компания</w:t>
            </w:r>
          </w:p>
        </w:tc>
        <w:tc>
          <w:tcPr>
            <w:tcW w:w="0" w:type="auto"/>
            <w:vAlign w:val="center"/>
          </w:tcPr>
          <w:p w14:paraId="3DBFD4ED" w14:textId="77777777" w:rsidR="00741104" w:rsidRPr="00741104" w:rsidRDefault="00741104" w:rsidP="00741104">
            <w:r w:rsidRPr="00741104">
              <w:t xml:space="preserve"> Сектор</w:t>
            </w:r>
          </w:p>
        </w:tc>
        <w:tc>
          <w:tcPr>
            <w:tcW w:w="0" w:type="auto"/>
            <w:vAlign w:val="center"/>
          </w:tcPr>
          <w:p w14:paraId="03586DB4" w14:textId="77777777" w:rsidR="00741104" w:rsidRPr="00741104" w:rsidRDefault="00741104" w:rsidP="00741104">
            <w:r w:rsidRPr="00741104">
              <w:t xml:space="preserve"> Объем привлечения, млрд руб.</w:t>
            </w:r>
          </w:p>
        </w:tc>
      </w:tr>
      <w:tr w:rsidR="00741104" w:rsidRPr="00741104" w14:paraId="7207D545" w14:textId="77777777" w:rsidTr="00C547F5">
        <w:trPr>
          <w:tblCellSpacing w:w="0" w:type="dxa"/>
        </w:trPr>
        <w:tc>
          <w:tcPr>
            <w:tcW w:w="0" w:type="auto"/>
            <w:gridSpan w:val="3"/>
            <w:vAlign w:val="center"/>
          </w:tcPr>
          <w:p w14:paraId="19C69326" w14:textId="77777777" w:rsidR="00741104" w:rsidRPr="00741104" w:rsidRDefault="00741104" w:rsidP="00741104">
            <w:r w:rsidRPr="00741104">
              <w:t xml:space="preserve"> 2022</w:t>
            </w:r>
          </w:p>
        </w:tc>
      </w:tr>
      <w:tr w:rsidR="00741104" w:rsidRPr="00741104" w14:paraId="40D4D58A" w14:textId="77777777" w:rsidTr="00C547F5">
        <w:trPr>
          <w:tblCellSpacing w:w="0" w:type="dxa"/>
        </w:trPr>
        <w:tc>
          <w:tcPr>
            <w:tcW w:w="0" w:type="auto"/>
            <w:vAlign w:val="center"/>
          </w:tcPr>
          <w:p w14:paraId="318DA84F" w14:textId="67EAFCC9" w:rsidR="00741104" w:rsidRPr="00741104" w:rsidRDefault="00741104" w:rsidP="00741104">
            <w:r w:rsidRPr="00741104">
              <w:t xml:space="preserve"> Whoosh (ПАО </w:t>
            </w:r>
            <w:r w:rsidR="00401C97">
              <w:t>«</w:t>
            </w:r>
            <w:r w:rsidRPr="00741104">
              <w:t>Вуш Холдинг</w:t>
            </w:r>
            <w:r w:rsidR="00401C97">
              <w:t>»</w:t>
            </w:r>
            <w:r w:rsidRPr="00741104">
              <w:t>)</w:t>
            </w:r>
          </w:p>
        </w:tc>
        <w:tc>
          <w:tcPr>
            <w:tcW w:w="0" w:type="auto"/>
            <w:vAlign w:val="center"/>
          </w:tcPr>
          <w:p w14:paraId="227EBC70" w14:textId="77777777" w:rsidR="00741104" w:rsidRPr="00741104" w:rsidRDefault="00741104" w:rsidP="00741104">
            <w:r w:rsidRPr="00741104">
              <w:t xml:space="preserve"> Шеринг электросамокатов</w:t>
            </w:r>
          </w:p>
        </w:tc>
        <w:tc>
          <w:tcPr>
            <w:tcW w:w="0" w:type="auto"/>
            <w:vAlign w:val="center"/>
          </w:tcPr>
          <w:p w14:paraId="730FD114" w14:textId="77777777" w:rsidR="00741104" w:rsidRPr="00741104" w:rsidRDefault="00741104" w:rsidP="00741104">
            <w:r w:rsidRPr="00741104">
              <w:t xml:space="preserve"> 2,1</w:t>
            </w:r>
          </w:p>
        </w:tc>
      </w:tr>
      <w:tr w:rsidR="00741104" w:rsidRPr="00741104" w14:paraId="5B5885F5" w14:textId="77777777" w:rsidTr="00C547F5">
        <w:trPr>
          <w:tblCellSpacing w:w="0" w:type="dxa"/>
        </w:trPr>
        <w:tc>
          <w:tcPr>
            <w:tcW w:w="0" w:type="auto"/>
            <w:vAlign w:val="center"/>
          </w:tcPr>
          <w:p w14:paraId="4010F0EA" w14:textId="77777777" w:rsidR="00741104" w:rsidRPr="00741104" w:rsidRDefault="00741104" w:rsidP="00741104">
            <w:r w:rsidRPr="00741104">
              <w:t xml:space="preserve"> Итого</w:t>
            </w:r>
          </w:p>
        </w:tc>
        <w:tc>
          <w:tcPr>
            <w:tcW w:w="0" w:type="auto"/>
            <w:vAlign w:val="center"/>
          </w:tcPr>
          <w:p w14:paraId="64F71C6B" w14:textId="77777777" w:rsidR="00741104" w:rsidRPr="00741104" w:rsidRDefault="00741104" w:rsidP="00741104">
            <w:r w:rsidRPr="00741104">
              <w:t xml:space="preserve"> </w:t>
            </w:r>
          </w:p>
        </w:tc>
        <w:tc>
          <w:tcPr>
            <w:tcW w:w="0" w:type="auto"/>
            <w:vAlign w:val="center"/>
          </w:tcPr>
          <w:p w14:paraId="770A25C9" w14:textId="77777777" w:rsidR="00741104" w:rsidRPr="00741104" w:rsidRDefault="00741104" w:rsidP="00741104">
            <w:r w:rsidRPr="00741104">
              <w:t xml:space="preserve"> 2,1</w:t>
            </w:r>
          </w:p>
        </w:tc>
      </w:tr>
    </w:tbl>
    <w:p w14:paraId="24B5F35A" w14:textId="27524B62" w:rsidR="00741104" w:rsidRPr="00741104" w:rsidRDefault="00741104" w:rsidP="00741104">
      <w:r w:rsidRPr="00741104">
        <w:lastRenderedPageBreak/>
        <w:t xml:space="preserve">Источник: ПАО </w:t>
      </w:r>
      <w:r w:rsidR="00401C97">
        <w:t>«</w:t>
      </w:r>
      <w:r w:rsidRPr="00741104">
        <w:t>Московская биржа</w:t>
      </w:r>
      <w:r w:rsidR="00401C97">
        <w:t>»</w:t>
      </w:r>
      <w:r w:rsidRPr="00741104">
        <w:t xml:space="preserve">, РБК, </w:t>
      </w:r>
      <w:r w:rsidR="00401C97">
        <w:t>«</w:t>
      </w:r>
      <w:r w:rsidRPr="00741104">
        <w:t>Интерфакс</w:t>
      </w:r>
      <w:r w:rsidR="00401C97">
        <w:t>»</w:t>
      </w:r>
    </w:p>
    <w:p w14:paraId="73457CDD" w14:textId="77777777" w:rsidR="00741104" w:rsidRPr="00741104" w:rsidRDefault="00741104" w:rsidP="00741104">
      <w:r w:rsidRPr="00741104">
        <w:t>2023 год: перестройка</w:t>
      </w:r>
    </w:p>
    <w:p w14:paraId="4BD41AD4" w14:textId="77777777" w:rsidR="00741104" w:rsidRPr="00741104" w:rsidRDefault="00741104" w:rsidP="00741104">
      <w:r w:rsidRPr="00741104">
        <w:t>В 2023 году началась перестройка рынка через изменение структуры участников рынка. До 2022 года значительную долю (около 60% в объеме торгов) занимали институциональные инвесторы, существенная часть из них были иностранные. Уход иностранных игроков создал вакуум ликвидности, который был заполнен российскими розничными инвесторами.</w:t>
      </w:r>
    </w:p>
    <w:p w14:paraId="23160A43" w14:textId="77777777" w:rsidR="00741104" w:rsidRPr="00741104" w:rsidRDefault="00741104" w:rsidP="00741104">
      <w:r w:rsidRPr="00741104">
        <w:t>Таблица 3. Доля розничных инвесторов в объеме торгов акциями</w:t>
      </w:r>
    </w:p>
    <w:tbl>
      <w:tblPr>
        <w:tblW w:w="0" w:type="auto"/>
        <w:tblCellSpacing w:w="0" w:type="dxa"/>
        <w:tblCellMar>
          <w:left w:w="0" w:type="dxa"/>
          <w:right w:w="0" w:type="dxa"/>
        </w:tblCellMar>
        <w:tblLook w:val="04A0" w:firstRow="1" w:lastRow="0" w:firstColumn="1" w:lastColumn="0" w:noHBand="0" w:noVBand="1"/>
      </w:tblPr>
      <w:tblGrid>
        <w:gridCol w:w="6376"/>
        <w:gridCol w:w="539"/>
        <w:gridCol w:w="539"/>
        <w:gridCol w:w="539"/>
        <w:gridCol w:w="539"/>
        <w:gridCol w:w="539"/>
      </w:tblGrid>
      <w:tr w:rsidR="00741104" w:rsidRPr="00741104" w14:paraId="3D1572E1" w14:textId="77777777" w:rsidTr="00C547F5">
        <w:trPr>
          <w:tblCellSpacing w:w="0" w:type="dxa"/>
        </w:trPr>
        <w:tc>
          <w:tcPr>
            <w:tcW w:w="0" w:type="auto"/>
            <w:vAlign w:val="center"/>
          </w:tcPr>
          <w:p w14:paraId="1F947E9D" w14:textId="77777777" w:rsidR="00741104" w:rsidRPr="00741104" w:rsidRDefault="00741104" w:rsidP="00741104">
            <w:r w:rsidRPr="00741104">
              <w:t xml:space="preserve"> Наименование</w:t>
            </w:r>
          </w:p>
        </w:tc>
        <w:tc>
          <w:tcPr>
            <w:tcW w:w="0" w:type="auto"/>
            <w:vAlign w:val="center"/>
          </w:tcPr>
          <w:p w14:paraId="1ECA1172" w14:textId="77777777" w:rsidR="00741104" w:rsidRPr="00741104" w:rsidRDefault="00741104" w:rsidP="00741104">
            <w:r w:rsidRPr="00741104">
              <w:t xml:space="preserve"> 2021</w:t>
            </w:r>
          </w:p>
        </w:tc>
        <w:tc>
          <w:tcPr>
            <w:tcW w:w="0" w:type="auto"/>
            <w:vAlign w:val="center"/>
          </w:tcPr>
          <w:p w14:paraId="490C1609" w14:textId="77777777" w:rsidR="00741104" w:rsidRPr="00741104" w:rsidRDefault="00741104" w:rsidP="00741104">
            <w:r w:rsidRPr="00741104">
              <w:t xml:space="preserve"> 2022</w:t>
            </w:r>
          </w:p>
        </w:tc>
        <w:tc>
          <w:tcPr>
            <w:tcW w:w="0" w:type="auto"/>
            <w:vAlign w:val="center"/>
          </w:tcPr>
          <w:p w14:paraId="6FB62604" w14:textId="77777777" w:rsidR="00741104" w:rsidRPr="00741104" w:rsidRDefault="00741104" w:rsidP="00741104">
            <w:r w:rsidRPr="00741104">
              <w:t xml:space="preserve"> 2023</w:t>
            </w:r>
          </w:p>
        </w:tc>
        <w:tc>
          <w:tcPr>
            <w:tcW w:w="0" w:type="auto"/>
            <w:vAlign w:val="center"/>
          </w:tcPr>
          <w:p w14:paraId="39DD63FC" w14:textId="77777777" w:rsidR="00741104" w:rsidRPr="00741104" w:rsidRDefault="00741104" w:rsidP="00741104">
            <w:r w:rsidRPr="00741104">
              <w:t xml:space="preserve"> 2024</w:t>
            </w:r>
          </w:p>
        </w:tc>
        <w:tc>
          <w:tcPr>
            <w:tcW w:w="0" w:type="auto"/>
            <w:vAlign w:val="center"/>
          </w:tcPr>
          <w:p w14:paraId="7D519030" w14:textId="77777777" w:rsidR="00741104" w:rsidRPr="00741104" w:rsidRDefault="00741104" w:rsidP="00741104">
            <w:r w:rsidRPr="00741104">
              <w:t xml:space="preserve"> 2025</w:t>
            </w:r>
          </w:p>
        </w:tc>
      </w:tr>
      <w:tr w:rsidR="00741104" w:rsidRPr="00741104" w14:paraId="561368ED" w14:textId="77777777" w:rsidTr="00C547F5">
        <w:trPr>
          <w:tblCellSpacing w:w="0" w:type="dxa"/>
        </w:trPr>
        <w:tc>
          <w:tcPr>
            <w:tcW w:w="0" w:type="auto"/>
            <w:vAlign w:val="center"/>
          </w:tcPr>
          <w:p w14:paraId="7AE4FBE0" w14:textId="77777777" w:rsidR="00741104" w:rsidRPr="00741104" w:rsidRDefault="00741104" w:rsidP="00741104">
            <w:r w:rsidRPr="00741104">
              <w:t xml:space="preserve"> Доля розничных инвесторов в объеме торгов акциями, %</w:t>
            </w:r>
          </w:p>
        </w:tc>
        <w:tc>
          <w:tcPr>
            <w:tcW w:w="0" w:type="auto"/>
            <w:vAlign w:val="center"/>
          </w:tcPr>
          <w:p w14:paraId="3D9FADEC" w14:textId="77777777" w:rsidR="00741104" w:rsidRPr="00741104" w:rsidRDefault="00741104" w:rsidP="00741104">
            <w:r w:rsidRPr="00741104">
              <w:t xml:space="preserve"> 40</w:t>
            </w:r>
          </w:p>
        </w:tc>
        <w:tc>
          <w:tcPr>
            <w:tcW w:w="0" w:type="auto"/>
            <w:vAlign w:val="center"/>
          </w:tcPr>
          <w:p w14:paraId="31DFFFCA" w14:textId="77777777" w:rsidR="00741104" w:rsidRPr="00741104" w:rsidRDefault="00741104" w:rsidP="00741104">
            <w:r w:rsidRPr="00741104">
              <w:t xml:space="preserve"> 60</w:t>
            </w:r>
          </w:p>
        </w:tc>
        <w:tc>
          <w:tcPr>
            <w:tcW w:w="0" w:type="auto"/>
            <w:vAlign w:val="center"/>
          </w:tcPr>
          <w:p w14:paraId="7964C60A" w14:textId="77777777" w:rsidR="00741104" w:rsidRPr="00741104" w:rsidRDefault="00741104" w:rsidP="00741104">
            <w:r w:rsidRPr="00741104">
              <w:t xml:space="preserve"> 82</w:t>
            </w:r>
          </w:p>
        </w:tc>
        <w:tc>
          <w:tcPr>
            <w:tcW w:w="0" w:type="auto"/>
            <w:vAlign w:val="center"/>
          </w:tcPr>
          <w:p w14:paraId="2A0E6FC9" w14:textId="77777777" w:rsidR="00741104" w:rsidRPr="00741104" w:rsidRDefault="00741104" w:rsidP="00741104">
            <w:r w:rsidRPr="00741104">
              <w:t xml:space="preserve"> 77</w:t>
            </w:r>
          </w:p>
        </w:tc>
        <w:tc>
          <w:tcPr>
            <w:tcW w:w="0" w:type="auto"/>
            <w:vAlign w:val="center"/>
          </w:tcPr>
          <w:p w14:paraId="06E33921" w14:textId="77777777" w:rsidR="00741104" w:rsidRPr="00741104" w:rsidRDefault="00741104" w:rsidP="00741104">
            <w:r w:rsidRPr="00741104">
              <w:t xml:space="preserve"> 71</w:t>
            </w:r>
          </w:p>
        </w:tc>
      </w:tr>
      <w:tr w:rsidR="00741104" w:rsidRPr="00741104" w14:paraId="43C2B054" w14:textId="77777777" w:rsidTr="00C547F5">
        <w:trPr>
          <w:tblCellSpacing w:w="0" w:type="dxa"/>
        </w:trPr>
        <w:tc>
          <w:tcPr>
            <w:tcW w:w="0" w:type="auto"/>
            <w:vAlign w:val="center"/>
          </w:tcPr>
          <w:p w14:paraId="41AD1FF1" w14:textId="77777777" w:rsidR="00741104" w:rsidRPr="00741104" w:rsidRDefault="00741104" w:rsidP="00741104">
            <w:r w:rsidRPr="00741104">
              <w:t xml:space="preserve"> Объем торгов акциями, трлн руб.</w:t>
            </w:r>
          </w:p>
        </w:tc>
        <w:tc>
          <w:tcPr>
            <w:tcW w:w="0" w:type="auto"/>
            <w:vAlign w:val="center"/>
          </w:tcPr>
          <w:p w14:paraId="29AF4435" w14:textId="77777777" w:rsidR="00741104" w:rsidRPr="00741104" w:rsidRDefault="00741104" w:rsidP="00741104">
            <w:r w:rsidRPr="00741104">
              <w:t xml:space="preserve"> 30</w:t>
            </w:r>
          </w:p>
        </w:tc>
        <w:tc>
          <w:tcPr>
            <w:tcW w:w="0" w:type="auto"/>
            <w:vAlign w:val="center"/>
          </w:tcPr>
          <w:p w14:paraId="43D86F0F" w14:textId="77777777" w:rsidR="00741104" w:rsidRPr="00741104" w:rsidRDefault="00741104" w:rsidP="00741104">
            <w:r w:rsidRPr="00741104">
              <w:t xml:space="preserve"> 18</w:t>
            </w:r>
          </w:p>
        </w:tc>
        <w:tc>
          <w:tcPr>
            <w:tcW w:w="0" w:type="auto"/>
            <w:vAlign w:val="center"/>
          </w:tcPr>
          <w:p w14:paraId="61296911" w14:textId="77777777" w:rsidR="00741104" w:rsidRPr="00741104" w:rsidRDefault="00741104" w:rsidP="00741104">
            <w:r w:rsidRPr="00741104">
              <w:t xml:space="preserve"> 23</w:t>
            </w:r>
          </w:p>
        </w:tc>
        <w:tc>
          <w:tcPr>
            <w:tcW w:w="0" w:type="auto"/>
            <w:vAlign w:val="center"/>
          </w:tcPr>
          <w:p w14:paraId="0CB08A1E" w14:textId="77777777" w:rsidR="00741104" w:rsidRPr="00741104" w:rsidRDefault="00741104" w:rsidP="00741104">
            <w:r w:rsidRPr="00741104">
              <w:t xml:space="preserve"> 33</w:t>
            </w:r>
          </w:p>
        </w:tc>
        <w:tc>
          <w:tcPr>
            <w:tcW w:w="0" w:type="auto"/>
            <w:vAlign w:val="center"/>
          </w:tcPr>
          <w:p w14:paraId="6BAF6BAD" w14:textId="77777777" w:rsidR="00741104" w:rsidRPr="00741104" w:rsidRDefault="00741104" w:rsidP="00741104">
            <w:r w:rsidRPr="00741104">
              <w:t xml:space="preserve"> 39</w:t>
            </w:r>
          </w:p>
        </w:tc>
      </w:tr>
      <w:tr w:rsidR="00741104" w:rsidRPr="00741104" w14:paraId="231C1BC9" w14:textId="77777777" w:rsidTr="00C547F5">
        <w:trPr>
          <w:tblCellSpacing w:w="0" w:type="dxa"/>
        </w:trPr>
        <w:tc>
          <w:tcPr>
            <w:tcW w:w="0" w:type="auto"/>
            <w:vAlign w:val="center"/>
          </w:tcPr>
          <w:p w14:paraId="1EF35053" w14:textId="77777777" w:rsidR="00741104" w:rsidRPr="00741104" w:rsidRDefault="00741104" w:rsidP="00741104">
            <w:r w:rsidRPr="00741104">
              <w:t xml:space="preserve"> Число клиентов-физлиц на фондовом рынке, млн клиентов</w:t>
            </w:r>
          </w:p>
        </w:tc>
        <w:tc>
          <w:tcPr>
            <w:tcW w:w="0" w:type="auto"/>
            <w:vAlign w:val="center"/>
          </w:tcPr>
          <w:p w14:paraId="775D3067" w14:textId="77777777" w:rsidR="00741104" w:rsidRPr="00741104" w:rsidRDefault="00741104" w:rsidP="00741104">
            <w:r w:rsidRPr="00741104">
              <w:t xml:space="preserve"> 16,8</w:t>
            </w:r>
          </w:p>
        </w:tc>
        <w:tc>
          <w:tcPr>
            <w:tcW w:w="0" w:type="auto"/>
            <w:vAlign w:val="center"/>
          </w:tcPr>
          <w:p w14:paraId="4D16DEB8" w14:textId="77777777" w:rsidR="00741104" w:rsidRPr="00741104" w:rsidRDefault="00741104" w:rsidP="00741104">
            <w:r w:rsidRPr="00741104">
              <w:t xml:space="preserve"> 22,9</w:t>
            </w:r>
          </w:p>
        </w:tc>
        <w:tc>
          <w:tcPr>
            <w:tcW w:w="0" w:type="auto"/>
            <w:vAlign w:val="center"/>
          </w:tcPr>
          <w:p w14:paraId="016B2A11" w14:textId="77777777" w:rsidR="00741104" w:rsidRPr="00741104" w:rsidRDefault="00741104" w:rsidP="00741104">
            <w:r w:rsidRPr="00741104">
              <w:t xml:space="preserve"> 29,7</w:t>
            </w:r>
          </w:p>
        </w:tc>
        <w:tc>
          <w:tcPr>
            <w:tcW w:w="0" w:type="auto"/>
            <w:vAlign w:val="center"/>
          </w:tcPr>
          <w:p w14:paraId="07396CE6" w14:textId="77777777" w:rsidR="00741104" w:rsidRPr="00741104" w:rsidRDefault="00741104" w:rsidP="00741104">
            <w:r w:rsidRPr="00741104">
              <w:t xml:space="preserve"> 35,1</w:t>
            </w:r>
          </w:p>
        </w:tc>
        <w:tc>
          <w:tcPr>
            <w:tcW w:w="0" w:type="auto"/>
            <w:vAlign w:val="center"/>
          </w:tcPr>
          <w:p w14:paraId="4113792A" w14:textId="77777777" w:rsidR="00741104" w:rsidRPr="00741104" w:rsidRDefault="00741104" w:rsidP="00741104">
            <w:r w:rsidRPr="00741104">
              <w:t xml:space="preserve"> 39,7</w:t>
            </w:r>
          </w:p>
        </w:tc>
      </w:tr>
      <w:tr w:rsidR="00741104" w:rsidRPr="00741104" w14:paraId="7E68C530" w14:textId="77777777" w:rsidTr="00C547F5">
        <w:trPr>
          <w:tblCellSpacing w:w="0" w:type="dxa"/>
        </w:trPr>
        <w:tc>
          <w:tcPr>
            <w:tcW w:w="0" w:type="auto"/>
            <w:vAlign w:val="center"/>
          </w:tcPr>
          <w:p w14:paraId="0862AFCF" w14:textId="77777777" w:rsidR="00741104" w:rsidRPr="00741104" w:rsidRDefault="00741104" w:rsidP="00741104">
            <w:r w:rsidRPr="00741104">
              <w:t xml:space="preserve"> Число активных клиентов на фондовом рынке, млн клиентов* </w:t>
            </w:r>
          </w:p>
        </w:tc>
        <w:tc>
          <w:tcPr>
            <w:tcW w:w="0" w:type="auto"/>
            <w:vAlign w:val="center"/>
          </w:tcPr>
          <w:p w14:paraId="4CFF5E1B" w14:textId="77777777" w:rsidR="00741104" w:rsidRPr="00741104" w:rsidRDefault="00741104" w:rsidP="00741104">
            <w:r w:rsidRPr="00741104">
              <w:t xml:space="preserve"> 2,6</w:t>
            </w:r>
          </w:p>
        </w:tc>
        <w:tc>
          <w:tcPr>
            <w:tcW w:w="0" w:type="auto"/>
            <w:vAlign w:val="center"/>
          </w:tcPr>
          <w:p w14:paraId="7BCA1DB4" w14:textId="77777777" w:rsidR="00741104" w:rsidRPr="00741104" w:rsidRDefault="00741104" w:rsidP="00741104">
            <w:r w:rsidRPr="00741104">
              <w:t xml:space="preserve"> 2,2</w:t>
            </w:r>
          </w:p>
        </w:tc>
        <w:tc>
          <w:tcPr>
            <w:tcW w:w="0" w:type="auto"/>
            <w:vAlign w:val="center"/>
          </w:tcPr>
          <w:p w14:paraId="13E271D0" w14:textId="77777777" w:rsidR="00741104" w:rsidRPr="00741104" w:rsidRDefault="00741104" w:rsidP="00741104">
            <w:r w:rsidRPr="00741104">
              <w:t xml:space="preserve"> 3,6</w:t>
            </w:r>
          </w:p>
        </w:tc>
        <w:tc>
          <w:tcPr>
            <w:tcW w:w="0" w:type="auto"/>
            <w:vAlign w:val="center"/>
          </w:tcPr>
          <w:p w14:paraId="7134EFEF" w14:textId="77777777" w:rsidR="00741104" w:rsidRPr="00741104" w:rsidRDefault="00741104" w:rsidP="00741104">
            <w:r w:rsidRPr="00741104">
              <w:t xml:space="preserve"> 3,8</w:t>
            </w:r>
          </w:p>
        </w:tc>
        <w:tc>
          <w:tcPr>
            <w:tcW w:w="0" w:type="auto"/>
            <w:vAlign w:val="center"/>
          </w:tcPr>
          <w:p w14:paraId="16E58695" w14:textId="77777777" w:rsidR="00741104" w:rsidRPr="00741104" w:rsidRDefault="00741104" w:rsidP="00741104">
            <w:r w:rsidRPr="00741104">
              <w:t xml:space="preserve"> 3,6</w:t>
            </w:r>
          </w:p>
        </w:tc>
      </w:tr>
    </w:tbl>
    <w:p w14:paraId="02F99BFC" w14:textId="77777777" w:rsidR="00741104" w:rsidRPr="00741104" w:rsidRDefault="00741104" w:rsidP="00741104">
      <w:r w:rsidRPr="00741104">
        <w:t>*Совершили хотя бы одну сделку в течение месяца. Данные за 2025 год (на апрель 2025 года).</w:t>
      </w:r>
    </w:p>
    <w:p w14:paraId="3CE1C98B" w14:textId="670534FE" w:rsidR="00741104" w:rsidRPr="00741104" w:rsidRDefault="00741104" w:rsidP="00741104">
      <w:r w:rsidRPr="00741104">
        <w:t xml:space="preserve">Источник: ПАО </w:t>
      </w:r>
      <w:r w:rsidR="00401C97">
        <w:t>«</w:t>
      </w:r>
      <w:r w:rsidRPr="00741104">
        <w:t>Московская биржа</w:t>
      </w:r>
      <w:r w:rsidR="00401C97">
        <w:t>»</w:t>
      </w:r>
    </w:p>
    <w:p w14:paraId="3CFDBFC7" w14:textId="77777777" w:rsidR="00741104" w:rsidRPr="00741104" w:rsidRDefault="00741104" w:rsidP="00741104">
      <w:r w:rsidRPr="00741104">
        <w:t>К концу 2023 года доля розничных инвесторов достигла 82%. Это фундаментально изменило поведение рынка, сделав его более эмоциональным и частично зависимым от маркетинга эмитентов. Розничные инвесторы активнее реагируют на новости, что ведет к частому совершению сделок и, как следствие, к росту объемов торгов даже при небольших изменениях цены.</w:t>
      </w:r>
    </w:p>
    <w:p w14:paraId="6DB2FD72" w14:textId="77777777" w:rsidR="00741104" w:rsidRPr="00741104" w:rsidRDefault="00741104" w:rsidP="00741104">
      <w:r w:rsidRPr="00741104">
        <w:t>Доминирование розницы выявило критическую проблему емкости рынка: смена базы инвесторов сделала рынок массовым по количеству участников, но ограниченным по объему капитала.</w:t>
      </w:r>
    </w:p>
    <w:p w14:paraId="06B1FB8C" w14:textId="77777777" w:rsidR="00741104" w:rsidRPr="00741104" w:rsidRDefault="00741104" w:rsidP="00741104">
      <w:r w:rsidRPr="00741104">
        <w:t>2023-2024 годы: бум IPO</w:t>
      </w:r>
    </w:p>
    <w:p w14:paraId="750BEA85" w14:textId="77777777" w:rsidR="00741104" w:rsidRPr="00741104" w:rsidRDefault="00741104" w:rsidP="00741104">
      <w:r w:rsidRPr="00741104">
        <w:t>Изменение структуры инвесторов определило лицо бума IPO в 2023-2024 годах. Это был преимущественно парад компаний малой и средней капитализации. Фрагментированный спрос физических лиц не способен взять на себя крупные размещения. Розничный инвестор может обеспечить успех сделки на 3-5 млрд рублей, но не способен заменить ушедшие иностранные фонды в сделках на сумму более 50 млрд рублей.</w:t>
      </w:r>
    </w:p>
    <w:p w14:paraId="6530E727" w14:textId="77777777" w:rsidR="00741104" w:rsidRPr="00741104" w:rsidRDefault="00741104" w:rsidP="00741104">
      <w:r w:rsidRPr="00741104">
        <w:t xml:space="preserve">Причины большого роста числа размещений в 2023-2024 годах: </w:t>
      </w:r>
    </w:p>
    <w:p w14:paraId="2020A04E" w14:textId="77777777" w:rsidR="00741104" w:rsidRPr="00741104" w:rsidRDefault="00741104" w:rsidP="00741104">
      <w:pPr>
        <w:numPr>
          <w:ilvl w:val="0"/>
          <w:numId w:val="31"/>
        </w:numPr>
      </w:pPr>
      <w:r w:rsidRPr="00741104">
        <w:t xml:space="preserve">избыток ликвидности внутри страны. Деньги российских инвесторов частично заперты внутри страны. Крупный капитал и частные инвесторы не могли массово выводить средства за рубеж, поэтому искали инструменты вложений внутри страны; </w:t>
      </w:r>
    </w:p>
    <w:p w14:paraId="1EB2A1B6" w14:textId="77777777" w:rsidR="00741104" w:rsidRPr="00741104" w:rsidRDefault="00741104" w:rsidP="00741104">
      <w:pPr>
        <w:numPr>
          <w:ilvl w:val="0"/>
          <w:numId w:val="31"/>
        </w:numPr>
      </w:pPr>
      <w:r w:rsidRPr="00741104">
        <w:t xml:space="preserve">банковские кредиты при высокой ставке ЦБ стали очень дорогими, поэтому акционерный капитал частично был одной из альтернатив. </w:t>
      </w:r>
    </w:p>
    <w:p w14:paraId="45F280A2" w14:textId="3F093899" w:rsidR="00741104" w:rsidRPr="00741104" w:rsidRDefault="00741104" w:rsidP="00741104">
      <w:r w:rsidRPr="00741104">
        <w:t xml:space="preserve">В период 2023-2024 годов на биржу успешно вышли ряд компаний средней капитализации (группа </w:t>
      </w:r>
      <w:r w:rsidR="00401C97">
        <w:t>«</w:t>
      </w:r>
      <w:r w:rsidRPr="00741104">
        <w:t>Астра</w:t>
      </w:r>
      <w:r w:rsidR="00401C97">
        <w:t>»</w:t>
      </w:r>
      <w:r w:rsidRPr="00741104">
        <w:t xml:space="preserve">, </w:t>
      </w:r>
      <w:r w:rsidR="00401C97">
        <w:t>«</w:t>
      </w:r>
      <w:r w:rsidRPr="00741104">
        <w:t>Европлан</w:t>
      </w:r>
      <w:r w:rsidR="00401C97">
        <w:t>»</w:t>
      </w:r>
      <w:r w:rsidRPr="00741104">
        <w:t xml:space="preserve">, </w:t>
      </w:r>
      <w:r w:rsidR="00401C97">
        <w:t>«</w:t>
      </w:r>
      <w:r w:rsidRPr="00741104">
        <w:t>Диасофт</w:t>
      </w:r>
      <w:r w:rsidR="00401C97">
        <w:t>»</w:t>
      </w:r>
      <w:r w:rsidRPr="00741104">
        <w:t xml:space="preserve">, </w:t>
      </w:r>
      <w:r w:rsidR="00401C97">
        <w:t>«</w:t>
      </w:r>
      <w:r w:rsidRPr="00741104">
        <w:t>Генетико</w:t>
      </w:r>
      <w:r w:rsidR="00401C97">
        <w:t>»</w:t>
      </w:r>
      <w:r w:rsidRPr="00741104">
        <w:t xml:space="preserve">, </w:t>
      </w:r>
      <w:r w:rsidR="00401C97">
        <w:lastRenderedPageBreak/>
        <w:t>«</w:t>
      </w:r>
      <w:r w:rsidRPr="00741104">
        <w:t>Всеинструменты.ру</w:t>
      </w:r>
      <w:r w:rsidR="00401C97">
        <w:t>»</w:t>
      </w:r>
      <w:r w:rsidRPr="00741104">
        <w:t xml:space="preserve">, </w:t>
      </w:r>
      <w:r w:rsidR="00401C97">
        <w:t>«</w:t>
      </w:r>
      <w:r w:rsidRPr="00741104">
        <w:t>Промомед</w:t>
      </w:r>
      <w:r w:rsidR="00401C97">
        <w:t>»</w:t>
      </w:r>
      <w:r w:rsidRPr="00741104">
        <w:t>). Их небольшой объем размещения позволил собрать книгу преимущественно силами розницы.</w:t>
      </w:r>
    </w:p>
    <w:p w14:paraId="033DA591" w14:textId="77777777" w:rsidR="00741104" w:rsidRPr="00741104" w:rsidRDefault="00741104" w:rsidP="00741104">
      <w:r w:rsidRPr="00741104">
        <w:t>Таблица 4. Результаты IPO в 2023-2024 годах</w:t>
      </w:r>
    </w:p>
    <w:tbl>
      <w:tblPr>
        <w:tblW w:w="0" w:type="auto"/>
        <w:tblCellSpacing w:w="0" w:type="dxa"/>
        <w:tblCellMar>
          <w:left w:w="0" w:type="dxa"/>
          <w:right w:w="0" w:type="dxa"/>
        </w:tblCellMar>
        <w:tblLook w:val="04A0" w:firstRow="1" w:lastRow="0" w:firstColumn="1" w:lastColumn="0" w:noHBand="0" w:noVBand="1"/>
      </w:tblPr>
      <w:tblGrid>
        <w:gridCol w:w="2324"/>
        <w:gridCol w:w="3871"/>
        <w:gridCol w:w="2876"/>
      </w:tblGrid>
      <w:tr w:rsidR="00741104" w:rsidRPr="00741104" w14:paraId="4A37BD5B" w14:textId="77777777" w:rsidTr="00C547F5">
        <w:trPr>
          <w:tblCellSpacing w:w="0" w:type="dxa"/>
        </w:trPr>
        <w:tc>
          <w:tcPr>
            <w:tcW w:w="0" w:type="auto"/>
            <w:vAlign w:val="center"/>
          </w:tcPr>
          <w:p w14:paraId="6F054F90" w14:textId="77777777" w:rsidR="00741104" w:rsidRPr="00741104" w:rsidRDefault="00741104" w:rsidP="00741104">
            <w:r w:rsidRPr="00741104">
              <w:t xml:space="preserve"> Компания</w:t>
            </w:r>
          </w:p>
        </w:tc>
        <w:tc>
          <w:tcPr>
            <w:tcW w:w="0" w:type="auto"/>
            <w:vAlign w:val="center"/>
          </w:tcPr>
          <w:p w14:paraId="39CA47BE" w14:textId="77777777" w:rsidR="00741104" w:rsidRPr="00741104" w:rsidRDefault="00741104" w:rsidP="00741104">
            <w:r w:rsidRPr="00741104">
              <w:t xml:space="preserve"> Сектор</w:t>
            </w:r>
          </w:p>
        </w:tc>
        <w:tc>
          <w:tcPr>
            <w:tcW w:w="0" w:type="auto"/>
            <w:vAlign w:val="center"/>
          </w:tcPr>
          <w:p w14:paraId="202F1B51" w14:textId="77777777" w:rsidR="00741104" w:rsidRPr="00741104" w:rsidRDefault="00741104" w:rsidP="00741104">
            <w:r w:rsidRPr="00741104">
              <w:t xml:space="preserve"> Объем привлечения, млрд руб.</w:t>
            </w:r>
          </w:p>
        </w:tc>
      </w:tr>
      <w:tr w:rsidR="00741104" w:rsidRPr="00741104" w14:paraId="4F71D206" w14:textId="77777777" w:rsidTr="00C547F5">
        <w:trPr>
          <w:tblCellSpacing w:w="0" w:type="dxa"/>
        </w:trPr>
        <w:tc>
          <w:tcPr>
            <w:tcW w:w="0" w:type="auto"/>
            <w:gridSpan w:val="3"/>
            <w:vAlign w:val="center"/>
          </w:tcPr>
          <w:p w14:paraId="5768181C" w14:textId="77777777" w:rsidR="00741104" w:rsidRPr="00741104" w:rsidRDefault="00741104" w:rsidP="00741104">
            <w:r w:rsidRPr="00741104">
              <w:t xml:space="preserve"> 2023</w:t>
            </w:r>
          </w:p>
        </w:tc>
      </w:tr>
      <w:tr w:rsidR="00741104" w:rsidRPr="00741104" w14:paraId="636FDC26" w14:textId="77777777" w:rsidTr="00C547F5">
        <w:trPr>
          <w:tblCellSpacing w:w="0" w:type="dxa"/>
        </w:trPr>
        <w:tc>
          <w:tcPr>
            <w:tcW w:w="0" w:type="auto"/>
            <w:vAlign w:val="center"/>
          </w:tcPr>
          <w:p w14:paraId="5C930094" w14:textId="47A2FF24" w:rsidR="00741104" w:rsidRPr="00741104" w:rsidRDefault="00741104" w:rsidP="00741104">
            <w:r w:rsidRPr="00741104">
              <w:t xml:space="preserve"> </w:t>
            </w:r>
            <w:r w:rsidR="00401C97">
              <w:t>«</w:t>
            </w:r>
            <w:r w:rsidRPr="00741104">
              <w:t>Евротранс</w:t>
            </w:r>
            <w:r w:rsidR="00401C97">
              <w:t>»</w:t>
            </w:r>
          </w:p>
        </w:tc>
        <w:tc>
          <w:tcPr>
            <w:tcW w:w="0" w:type="auto"/>
            <w:vAlign w:val="center"/>
          </w:tcPr>
          <w:p w14:paraId="0E8A03C9" w14:textId="77777777" w:rsidR="00741104" w:rsidRPr="00741104" w:rsidRDefault="00741104" w:rsidP="00741104">
            <w:r w:rsidRPr="00741104">
              <w:t xml:space="preserve"> Сеть АЗС</w:t>
            </w:r>
          </w:p>
        </w:tc>
        <w:tc>
          <w:tcPr>
            <w:tcW w:w="0" w:type="auto"/>
            <w:vAlign w:val="center"/>
          </w:tcPr>
          <w:p w14:paraId="5FBFFD93" w14:textId="77777777" w:rsidR="00741104" w:rsidRPr="00741104" w:rsidRDefault="00741104" w:rsidP="00741104">
            <w:r w:rsidRPr="00741104">
              <w:t xml:space="preserve"> 13,5 </w:t>
            </w:r>
          </w:p>
        </w:tc>
      </w:tr>
      <w:tr w:rsidR="00741104" w:rsidRPr="00741104" w14:paraId="2FE06E95" w14:textId="77777777" w:rsidTr="00C547F5">
        <w:trPr>
          <w:tblCellSpacing w:w="0" w:type="dxa"/>
        </w:trPr>
        <w:tc>
          <w:tcPr>
            <w:tcW w:w="0" w:type="auto"/>
            <w:vAlign w:val="center"/>
          </w:tcPr>
          <w:p w14:paraId="555D7F49" w14:textId="68E89C07" w:rsidR="00741104" w:rsidRPr="00741104" w:rsidRDefault="00741104" w:rsidP="00741104">
            <w:r w:rsidRPr="00741104">
              <w:t xml:space="preserve"> </w:t>
            </w:r>
            <w:r w:rsidR="00401C97">
              <w:t>«</w:t>
            </w:r>
            <w:r w:rsidRPr="00741104">
              <w:t>Совкомбанк</w:t>
            </w:r>
            <w:r w:rsidR="00401C97">
              <w:t>»</w:t>
            </w:r>
          </w:p>
        </w:tc>
        <w:tc>
          <w:tcPr>
            <w:tcW w:w="0" w:type="auto"/>
            <w:vAlign w:val="center"/>
          </w:tcPr>
          <w:p w14:paraId="7EE8F96B" w14:textId="77777777" w:rsidR="00741104" w:rsidRPr="00741104" w:rsidRDefault="00741104" w:rsidP="00741104">
            <w:r w:rsidRPr="00741104">
              <w:t xml:space="preserve"> Банки</w:t>
            </w:r>
          </w:p>
        </w:tc>
        <w:tc>
          <w:tcPr>
            <w:tcW w:w="0" w:type="auto"/>
            <w:vAlign w:val="center"/>
          </w:tcPr>
          <w:p w14:paraId="4AB57F46" w14:textId="77777777" w:rsidR="00741104" w:rsidRPr="00741104" w:rsidRDefault="00741104" w:rsidP="00741104">
            <w:r w:rsidRPr="00741104">
              <w:t xml:space="preserve"> 11,5 </w:t>
            </w:r>
          </w:p>
        </w:tc>
      </w:tr>
      <w:tr w:rsidR="00741104" w:rsidRPr="00741104" w14:paraId="60E6A677" w14:textId="77777777" w:rsidTr="00C547F5">
        <w:trPr>
          <w:tblCellSpacing w:w="0" w:type="dxa"/>
        </w:trPr>
        <w:tc>
          <w:tcPr>
            <w:tcW w:w="0" w:type="auto"/>
            <w:vAlign w:val="center"/>
          </w:tcPr>
          <w:p w14:paraId="4FFF0EEA" w14:textId="432943EC" w:rsidR="00741104" w:rsidRPr="00741104" w:rsidRDefault="00741104" w:rsidP="00741104">
            <w:r w:rsidRPr="00741104">
              <w:t xml:space="preserve"> </w:t>
            </w:r>
            <w:r w:rsidR="00401C97">
              <w:t>«</w:t>
            </w:r>
            <w:r w:rsidRPr="00741104">
              <w:t>Южуралзолото</w:t>
            </w:r>
            <w:r w:rsidR="00401C97">
              <w:t>»</w:t>
            </w:r>
          </w:p>
        </w:tc>
        <w:tc>
          <w:tcPr>
            <w:tcW w:w="0" w:type="auto"/>
            <w:vAlign w:val="center"/>
          </w:tcPr>
          <w:p w14:paraId="06EBF71C" w14:textId="77777777" w:rsidR="00741104" w:rsidRPr="00741104" w:rsidRDefault="00741104" w:rsidP="00741104">
            <w:r w:rsidRPr="00741104">
              <w:t xml:space="preserve"> Добыча золота</w:t>
            </w:r>
          </w:p>
        </w:tc>
        <w:tc>
          <w:tcPr>
            <w:tcW w:w="0" w:type="auto"/>
            <w:vAlign w:val="center"/>
          </w:tcPr>
          <w:p w14:paraId="2573A751" w14:textId="77777777" w:rsidR="00741104" w:rsidRPr="00741104" w:rsidRDefault="00741104" w:rsidP="00741104">
            <w:r w:rsidRPr="00741104">
              <w:t xml:space="preserve"> 7,0 </w:t>
            </w:r>
          </w:p>
        </w:tc>
      </w:tr>
      <w:tr w:rsidR="00741104" w:rsidRPr="00741104" w14:paraId="75C2D95B" w14:textId="77777777" w:rsidTr="00C547F5">
        <w:trPr>
          <w:tblCellSpacing w:w="0" w:type="dxa"/>
        </w:trPr>
        <w:tc>
          <w:tcPr>
            <w:tcW w:w="0" w:type="auto"/>
            <w:vAlign w:val="center"/>
          </w:tcPr>
          <w:p w14:paraId="0B8D0D7B" w14:textId="77777777" w:rsidR="00741104" w:rsidRPr="00741104" w:rsidRDefault="00741104" w:rsidP="00741104">
            <w:r w:rsidRPr="00741104">
              <w:t xml:space="preserve"> Henderson</w:t>
            </w:r>
          </w:p>
        </w:tc>
        <w:tc>
          <w:tcPr>
            <w:tcW w:w="0" w:type="auto"/>
            <w:vAlign w:val="center"/>
          </w:tcPr>
          <w:p w14:paraId="3D4AF0E4" w14:textId="77777777" w:rsidR="00741104" w:rsidRPr="00741104" w:rsidRDefault="00741104" w:rsidP="00741104">
            <w:r w:rsidRPr="00741104">
              <w:t xml:space="preserve"> Текстильная промышленность</w:t>
            </w:r>
          </w:p>
        </w:tc>
        <w:tc>
          <w:tcPr>
            <w:tcW w:w="0" w:type="auto"/>
            <w:vAlign w:val="center"/>
          </w:tcPr>
          <w:p w14:paraId="7F08200F" w14:textId="77777777" w:rsidR="00741104" w:rsidRPr="00741104" w:rsidRDefault="00741104" w:rsidP="00741104">
            <w:r w:rsidRPr="00741104">
              <w:t xml:space="preserve"> 3,8 </w:t>
            </w:r>
          </w:p>
        </w:tc>
      </w:tr>
      <w:tr w:rsidR="00741104" w:rsidRPr="00741104" w14:paraId="61952622" w14:textId="77777777" w:rsidTr="00C547F5">
        <w:trPr>
          <w:tblCellSpacing w:w="0" w:type="dxa"/>
        </w:trPr>
        <w:tc>
          <w:tcPr>
            <w:tcW w:w="0" w:type="auto"/>
            <w:vAlign w:val="center"/>
          </w:tcPr>
          <w:p w14:paraId="4F196647" w14:textId="6F7F5B9A" w:rsidR="00741104" w:rsidRPr="00741104" w:rsidRDefault="00741104" w:rsidP="00741104">
            <w:r w:rsidRPr="00741104">
              <w:t xml:space="preserve"> </w:t>
            </w:r>
            <w:r w:rsidR="00401C97">
              <w:t>«</w:t>
            </w:r>
            <w:r w:rsidRPr="00741104">
              <w:t>Астра</w:t>
            </w:r>
            <w:r w:rsidR="00401C97">
              <w:t>»</w:t>
            </w:r>
          </w:p>
        </w:tc>
        <w:tc>
          <w:tcPr>
            <w:tcW w:w="0" w:type="auto"/>
            <w:vAlign w:val="center"/>
          </w:tcPr>
          <w:p w14:paraId="1C759321" w14:textId="77777777" w:rsidR="00741104" w:rsidRPr="00741104" w:rsidRDefault="00741104" w:rsidP="00741104">
            <w:r w:rsidRPr="00741104">
              <w:t xml:space="preserve"> IT</w:t>
            </w:r>
          </w:p>
        </w:tc>
        <w:tc>
          <w:tcPr>
            <w:tcW w:w="0" w:type="auto"/>
            <w:vAlign w:val="center"/>
          </w:tcPr>
          <w:p w14:paraId="659A0A97" w14:textId="77777777" w:rsidR="00741104" w:rsidRPr="00741104" w:rsidRDefault="00741104" w:rsidP="00741104">
            <w:r w:rsidRPr="00741104">
              <w:t xml:space="preserve"> 3,5 </w:t>
            </w:r>
          </w:p>
        </w:tc>
      </w:tr>
      <w:tr w:rsidR="00741104" w:rsidRPr="00741104" w14:paraId="2C065A83" w14:textId="77777777" w:rsidTr="00C547F5">
        <w:trPr>
          <w:tblCellSpacing w:w="0" w:type="dxa"/>
        </w:trPr>
        <w:tc>
          <w:tcPr>
            <w:tcW w:w="0" w:type="auto"/>
            <w:vAlign w:val="center"/>
          </w:tcPr>
          <w:p w14:paraId="31E4DA0B" w14:textId="55D145C7" w:rsidR="00741104" w:rsidRPr="00741104" w:rsidRDefault="00741104" w:rsidP="00741104">
            <w:r w:rsidRPr="00741104">
              <w:t xml:space="preserve"> </w:t>
            </w:r>
            <w:r w:rsidR="00401C97">
              <w:t>«</w:t>
            </w:r>
            <w:r w:rsidRPr="00741104">
              <w:t>Генетико</w:t>
            </w:r>
            <w:r w:rsidR="00401C97">
              <w:t>»</w:t>
            </w:r>
          </w:p>
        </w:tc>
        <w:tc>
          <w:tcPr>
            <w:tcW w:w="0" w:type="auto"/>
            <w:vAlign w:val="center"/>
          </w:tcPr>
          <w:p w14:paraId="338D9CDB" w14:textId="77777777" w:rsidR="00741104" w:rsidRPr="00741104" w:rsidRDefault="00741104" w:rsidP="00741104">
            <w:r w:rsidRPr="00741104">
              <w:t xml:space="preserve"> Медицина</w:t>
            </w:r>
          </w:p>
        </w:tc>
        <w:tc>
          <w:tcPr>
            <w:tcW w:w="0" w:type="auto"/>
            <w:vAlign w:val="center"/>
          </w:tcPr>
          <w:p w14:paraId="5AC754A0" w14:textId="77777777" w:rsidR="00741104" w:rsidRPr="00741104" w:rsidRDefault="00741104" w:rsidP="00741104">
            <w:r w:rsidRPr="00741104">
              <w:t xml:space="preserve"> 1,5 </w:t>
            </w:r>
          </w:p>
        </w:tc>
      </w:tr>
      <w:tr w:rsidR="00741104" w:rsidRPr="00741104" w14:paraId="22A31AE6" w14:textId="77777777" w:rsidTr="00C547F5">
        <w:trPr>
          <w:tblCellSpacing w:w="0" w:type="dxa"/>
        </w:trPr>
        <w:tc>
          <w:tcPr>
            <w:tcW w:w="0" w:type="auto"/>
            <w:vAlign w:val="center"/>
          </w:tcPr>
          <w:p w14:paraId="0ACB2C02" w14:textId="77777777" w:rsidR="00741104" w:rsidRPr="00741104" w:rsidRDefault="00741104" w:rsidP="00741104">
            <w:r w:rsidRPr="00741104">
              <w:t xml:space="preserve"> Carmoney</w:t>
            </w:r>
          </w:p>
        </w:tc>
        <w:tc>
          <w:tcPr>
            <w:tcW w:w="0" w:type="auto"/>
            <w:vAlign w:val="center"/>
          </w:tcPr>
          <w:p w14:paraId="2F640917" w14:textId="77777777" w:rsidR="00741104" w:rsidRPr="00741104" w:rsidRDefault="00741104" w:rsidP="00741104">
            <w:r w:rsidRPr="00741104">
              <w:t xml:space="preserve"> Финтех</w:t>
            </w:r>
          </w:p>
        </w:tc>
        <w:tc>
          <w:tcPr>
            <w:tcW w:w="0" w:type="auto"/>
            <w:vAlign w:val="center"/>
          </w:tcPr>
          <w:p w14:paraId="2BBD9252" w14:textId="77777777" w:rsidR="00741104" w:rsidRPr="00741104" w:rsidRDefault="00741104" w:rsidP="00741104">
            <w:r w:rsidRPr="00741104">
              <w:t xml:space="preserve"> 0,6 </w:t>
            </w:r>
          </w:p>
        </w:tc>
      </w:tr>
      <w:tr w:rsidR="00741104" w:rsidRPr="00741104" w14:paraId="3276040B" w14:textId="77777777" w:rsidTr="00C547F5">
        <w:trPr>
          <w:tblCellSpacing w:w="0" w:type="dxa"/>
        </w:trPr>
        <w:tc>
          <w:tcPr>
            <w:tcW w:w="0" w:type="auto"/>
            <w:vAlign w:val="center"/>
          </w:tcPr>
          <w:p w14:paraId="664BAB7D" w14:textId="657FDA71" w:rsidR="00741104" w:rsidRPr="00741104" w:rsidRDefault="00741104" w:rsidP="00741104">
            <w:r w:rsidRPr="00741104">
              <w:t xml:space="preserve"> </w:t>
            </w:r>
            <w:r w:rsidR="00401C97">
              <w:t>«</w:t>
            </w:r>
            <w:r w:rsidRPr="00741104">
              <w:t>Мосгорломбард</w:t>
            </w:r>
            <w:r w:rsidR="00401C97">
              <w:t>»</w:t>
            </w:r>
          </w:p>
        </w:tc>
        <w:tc>
          <w:tcPr>
            <w:tcW w:w="0" w:type="auto"/>
            <w:vAlign w:val="center"/>
          </w:tcPr>
          <w:p w14:paraId="7FFED49D" w14:textId="77777777" w:rsidR="00741104" w:rsidRPr="00741104" w:rsidRDefault="00741104" w:rsidP="00741104">
            <w:r w:rsidRPr="00741104">
              <w:t xml:space="preserve"> Кредитование</w:t>
            </w:r>
          </w:p>
        </w:tc>
        <w:tc>
          <w:tcPr>
            <w:tcW w:w="0" w:type="auto"/>
            <w:vAlign w:val="center"/>
          </w:tcPr>
          <w:p w14:paraId="6E2F950D" w14:textId="77777777" w:rsidR="00741104" w:rsidRPr="00741104" w:rsidRDefault="00741104" w:rsidP="00741104">
            <w:r w:rsidRPr="00741104">
              <w:t xml:space="preserve"> 0,3 </w:t>
            </w:r>
          </w:p>
        </w:tc>
      </w:tr>
      <w:tr w:rsidR="00741104" w:rsidRPr="00741104" w14:paraId="06FEA3E8" w14:textId="77777777" w:rsidTr="00C547F5">
        <w:trPr>
          <w:tblCellSpacing w:w="0" w:type="dxa"/>
        </w:trPr>
        <w:tc>
          <w:tcPr>
            <w:tcW w:w="0" w:type="auto"/>
            <w:vAlign w:val="center"/>
          </w:tcPr>
          <w:p w14:paraId="7485D842" w14:textId="77777777" w:rsidR="00741104" w:rsidRPr="00741104" w:rsidRDefault="00741104" w:rsidP="00741104">
            <w:r w:rsidRPr="00741104">
              <w:t xml:space="preserve"> </w:t>
            </w:r>
          </w:p>
        </w:tc>
        <w:tc>
          <w:tcPr>
            <w:tcW w:w="0" w:type="auto"/>
            <w:vAlign w:val="center"/>
          </w:tcPr>
          <w:p w14:paraId="4DC65A01" w14:textId="77777777" w:rsidR="00741104" w:rsidRPr="00741104" w:rsidRDefault="00741104" w:rsidP="00741104">
            <w:r w:rsidRPr="00741104">
              <w:t xml:space="preserve"> </w:t>
            </w:r>
          </w:p>
        </w:tc>
        <w:tc>
          <w:tcPr>
            <w:tcW w:w="0" w:type="auto"/>
            <w:vAlign w:val="center"/>
          </w:tcPr>
          <w:p w14:paraId="4D77C648" w14:textId="77777777" w:rsidR="00741104" w:rsidRPr="00741104" w:rsidRDefault="00741104" w:rsidP="00741104">
            <w:r w:rsidRPr="00741104">
              <w:t xml:space="preserve"> 42 </w:t>
            </w:r>
          </w:p>
        </w:tc>
      </w:tr>
      <w:tr w:rsidR="00741104" w:rsidRPr="00741104" w14:paraId="217C4CF6" w14:textId="77777777" w:rsidTr="00C547F5">
        <w:trPr>
          <w:tblCellSpacing w:w="0" w:type="dxa"/>
        </w:trPr>
        <w:tc>
          <w:tcPr>
            <w:tcW w:w="0" w:type="auto"/>
            <w:gridSpan w:val="3"/>
            <w:vAlign w:val="center"/>
          </w:tcPr>
          <w:p w14:paraId="71E2B666" w14:textId="77777777" w:rsidR="00741104" w:rsidRPr="00741104" w:rsidRDefault="00741104" w:rsidP="00741104">
            <w:r w:rsidRPr="00741104">
              <w:t xml:space="preserve"> 2024</w:t>
            </w:r>
          </w:p>
        </w:tc>
      </w:tr>
      <w:tr w:rsidR="00741104" w:rsidRPr="00741104" w14:paraId="2728DF11" w14:textId="77777777" w:rsidTr="00C547F5">
        <w:trPr>
          <w:tblCellSpacing w:w="0" w:type="dxa"/>
        </w:trPr>
        <w:tc>
          <w:tcPr>
            <w:tcW w:w="0" w:type="auto"/>
            <w:vAlign w:val="center"/>
          </w:tcPr>
          <w:p w14:paraId="38A12E0B" w14:textId="5960F711" w:rsidR="00741104" w:rsidRPr="00741104" w:rsidRDefault="00741104" w:rsidP="00741104">
            <w:r w:rsidRPr="00741104">
              <w:t xml:space="preserve"> </w:t>
            </w:r>
            <w:r w:rsidR="00401C97">
              <w:t>«</w:t>
            </w:r>
            <w:r w:rsidRPr="00741104">
              <w:t>Делимобиль</w:t>
            </w:r>
            <w:r w:rsidR="00401C97">
              <w:t>»</w:t>
            </w:r>
          </w:p>
        </w:tc>
        <w:tc>
          <w:tcPr>
            <w:tcW w:w="0" w:type="auto"/>
            <w:vAlign w:val="center"/>
          </w:tcPr>
          <w:p w14:paraId="1A702A13" w14:textId="77777777" w:rsidR="00741104" w:rsidRPr="00741104" w:rsidRDefault="00741104" w:rsidP="00741104">
            <w:r w:rsidRPr="00741104">
              <w:t xml:space="preserve"> Каршеринг</w:t>
            </w:r>
          </w:p>
        </w:tc>
        <w:tc>
          <w:tcPr>
            <w:tcW w:w="0" w:type="auto"/>
            <w:vAlign w:val="center"/>
          </w:tcPr>
          <w:p w14:paraId="5C0AD8B8" w14:textId="77777777" w:rsidR="00741104" w:rsidRPr="00741104" w:rsidRDefault="00741104" w:rsidP="00741104">
            <w:r w:rsidRPr="00741104">
              <w:t xml:space="preserve"> 4,2 </w:t>
            </w:r>
          </w:p>
        </w:tc>
      </w:tr>
      <w:tr w:rsidR="00741104" w:rsidRPr="00741104" w14:paraId="70FA51E5" w14:textId="77777777" w:rsidTr="00C547F5">
        <w:trPr>
          <w:tblCellSpacing w:w="0" w:type="dxa"/>
        </w:trPr>
        <w:tc>
          <w:tcPr>
            <w:tcW w:w="0" w:type="auto"/>
            <w:vAlign w:val="center"/>
          </w:tcPr>
          <w:p w14:paraId="660248F2" w14:textId="7DFFB7CA" w:rsidR="00741104" w:rsidRPr="00741104" w:rsidRDefault="00741104" w:rsidP="00741104">
            <w:r w:rsidRPr="00741104">
              <w:t xml:space="preserve"> </w:t>
            </w:r>
            <w:r w:rsidR="00401C97">
              <w:t>«</w:t>
            </w:r>
            <w:r w:rsidRPr="00741104">
              <w:t>Диасофт</w:t>
            </w:r>
            <w:r w:rsidR="00401C97">
              <w:t>»</w:t>
            </w:r>
          </w:p>
        </w:tc>
        <w:tc>
          <w:tcPr>
            <w:tcW w:w="0" w:type="auto"/>
            <w:vAlign w:val="center"/>
          </w:tcPr>
          <w:p w14:paraId="00B5477B" w14:textId="77777777" w:rsidR="00741104" w:rsidRPr="00741104" w:rsidRDefault="00741104" w:rsidP="00741104">
            <w:r w:rsidRPr="00741104">
              <w:t xml:space="preserve"> IT</w:t>
            </w:r>
          </w:p>
        </w:tc>
        <w:tc>
          <w:tcPr>
            <w:tcW w:w="0" w:type="auto"/>
            <w:vAlign w:val="center"/>
          </w:tcPr>
          <w:p w14:paraId="4583EBD0" w14:textId="77777777" w:rsidR="00741104" w:rsidRPr="00741104" w:rsidRDefault="00741104" w:rsidP="00741104">
            <w:r w:rsidRPr="00741104">
              <w:t xml:space="preserve"> 4,1 </w:t>
            </w:r>
          </w:p>
        </w:tc>
      </w:tr>
      <w:tr w:rsidR="00741104" w:rsidRPr="00741104" w14:paraId="16F1DAD2" w14:textId="77777777" w:rsidTr="00C547F5">
        <w:trPr>
          <w:tblCellSpacing w:w="0" w:type="dxa"/>
        </w:trPr>
        <w:tc>
          <w:tcPr>
            <w:tcW w:w="0" w:type="auto"/>
            <w:vAlign w:val="center"/>
          </w:tcPr>
          <w:p w14:paraId="4E24A07F" w14:textId="395389DC" w:rsidR="00741104" w:rsidRPr="00741104" w:rsidRDefault="00741104" w:rsidP="00741104">
            <w:r w:rsidRPr="00741104">
              <w:t xml:space="preserve"> КЛВЗ </w:t>
            </w:r>
            <w:r w:rsidR="00401C97">
              <w:t>«</w:t>
            </w:r>
            <w:r w:rsidRPr="00741104">
              <w:t>Кристалл</w:t>
            </w:r>
            <w:r w:rsidR="00401C97">
              <w:t>»</w:t>
            </w:r>
          </w:p>
        </w:tc>
        <w:tc>
          <w:tcPr>
            <w:tcW w:w="0" w:type="auto"/>
            <w:vAlign w:val="center"/>
          </w:tcPr>
          <w:p w14:paraId="6E2E0DF6" w14:textId="77777777" w:rsidR="00741104" w:rsidRPr="00741104" w:rsidRDefault="00741104" w:rsidP="00741104">
            <w:r w:rsidRPr="00741104">
              <w:t xml:space="preserve"> Производство алкогольных напитков</w:t>
            </w:r>
          </w:p>
        </w:tc>
        <w:tc>
          <w:tcPr>
            <w:tcW w:w="0" w:type="auto"/>
            <w:vAlign w:val="center"/>
          </w:tcPr>
          <w:p w14:paraId="77DA90CC" w14:textId="77777777" w:rsidR="00741104" w:rsidRPr="00741104" w:rsidRDefault="00741104" w:rsidP="00741104">
            <w:r w:rsidRPr="00741104">
              <w:t xml:space="preserve"> 1,2 </w:t>
            </w:r>
          </w:p>
        </w:tc>
      </w:tr>
      <w:tr w:rsidR="00741104" w:rsidRPr="00741104" w14:paraId="0C547151" w14:textId="77777777" w:rsidTr="00C547F5">
        <w:trPr>
          <w:tblCellSpacing w:w="0" w:type="dxa"/>
        </w:trPr>
        <w:tc>
          <w:tcPr>
            <w:tcW w:w="0" w:type="auto"/>
            <w:vAlign w:val="center"/>
          </w:tcPr>
          <w:p w14:paraId="576475BE" w14:textId="11891B41" w:rsidR="00741104" w:rsidRPr="00741104" w:rsidRDefault="00741104" w:rsidP="00741104">
            <w:r w:rsidRPr="00741104">
              <w:t xml:space="preserve"> </w:t>
            </w:r>
            <w:r w:rsidR="00401C97">
              <w:t>«</w:t>
            </w:r>
            <w:r w:rsidRPr="00741104">
              <w:t>Европлан</w:t>
            </w:r>
            <w:r w:rsidR="00401C97">
              <w:t>»</w:t>
            </w:r>
            <w:r w:rsidRPr="00741104">
              <w:t xml:space="preserve"> </w:t>
            </w:r>
          </w:p>
        </w:tc>
        <w:tc>
          <w:tcPr>
            <w:tcW w:w="0" w:type="auto"/>
            <w:vAlign w:val="center"/>
          </w:tcPr>
          <w:p w14:paraId="4405D07E" w14:textId="77777777" w:rsidR="00741104" w:rsidRPr="00741104" w:rsidRDefault="00741104" w:rsidP="00741104">
            <w:r w:rsidRPr="00741104">
              <w:t xml:space="preserve"> Финансовый лизинг </w:t>
            </w:r>
          </w:p>
        </w:tc>
        <w:tc>
          <w:tcPr>
            <w:tcW w:w="0" w:type="auto"/>
            <w:vAlign w:val="center"/>
          </w:tcPr>
          <w:p w14:paraId="2E1C3CC7" w14:textId="77777777" w:rsidR="00741104" w:rsidRPr="00741104" w:rsidRDefault="00741104" w:rsidP="00741104">
            <w:r w:rsidRPr="00741104">
              <w:t xml:space="preserve"> 13,1 </w:t>
            </w:r>
          </w:p>
        </w:tc>
      </w:tr>
      <w:tr w:rsidR="00741104" w:rsidRPr="00741104" w14:paraId="17B381F4" w14:textId="77777777" w:rsidTr="00C547F5">
        <w:trPr>
          <w:tblCellSpacing w:w="0" w:type="dxa"/>
        </w:trPr>
        <w:tc>
          <w:tcPr>
            <w:tcW w:w="0" w:type="auto"/>
            <w:vAlign w:val="center"/>
          </w:tcPr>
          <w:p w14:paraId="1E8BEDCB" w14:textId="2C289553" w:rsidR="00741104" w:rsidRPr="00741104" w:rsidRDefault="00741104" w:rsidP="00741104">
            <w:r w:rsidRPr="00741104">
              <w:t xml:space="preserve"> МФК </w:t>
            </w:r>
            <w:r w:rsidR="00401C97">
              <w:t>«</w:t>
            </w:r>
            <w:r w:rsidRPr="00741104">
              <w:t>Займер</w:t>
            </w:r>
            <w:r w:rsidR="00401C97">
              <w:t>»</w:t>
            </w:r>
            <w:r w:rsidRPr="00741104">
              <w:t xml:space="preserve"> </w:t>
            </w:r>
          </w:p>
        </w:tc>
        <w:tc>
          <w:tcPr>
            <w:tcW w:w="0" w:type="auto"/>
            <w:vAlign w:val="center"/>
          </w:tcPr>
          <w:p w14:paraId="792E5584" w14:textId="77777777" w:rsidR="00741104" w:rsidRPr="00741104" w:rsidRDefault="00741104" w:rsidP="00741104">
            <w:r w:rsidRPr="00741104">
              <w:t xml:space="preserve"> Микрофинансовая организация </w:t>
            </w:r>
          </w:p>
        </w:tc>
        <w:tc>
          <w:tcPr>
            <w:tcW w:w="0" w:type="auto"/>
            <w:vAlign w:val="center"/>
          </w:tcPr>
          <w:p w14:paraId="0193A1D1" w14:textId="77777777" w:rsidR="00741104" w:rsidRPr="00741104" w:rsidRDefault="00741104" w:rsidP="00741104">
            <w:r w:rsidRPr="00741104">
              <w:t xml:space="preserve"> 3,5 </w:t>
            </w:r>
          </w:p>
        </w:tc>
      </w:tr>
      <w:tr w:rsidR="00741104" w:rsidRPr="00741104" w14:paraId="532E17BA" w14:textId="77777777" w:rsidTr="00C547F5">
        <w:trPr>
          <w:tblCellSpacing w:w="0" w:type="dxa"/>
        </w:trPr>
        <w:tc>
          <w:tcPr>
            <w:tcW w:w="0" w:type="auto"/>
            <w:vAlign w:val="center"/>
          </w:tcPr>
          <w:p w14:paraId="5C8D3BDE" w14:textId="1310AC9C" w:rsidR="00741104" w:rsidRPr="00741104" w:rsidRDefault="00741104" w:rsidP="00741104">
            <w:r w:rsidRPr="00741104">
              <w:t xml:space="preserve"> </w:t>
            </w:r>
            <w:r w:rsidR="00401C97">
              <w:t>«</w:t>
            </w:r>
            <w:r w:rsidRPr="00741104">
              <w:t>МТС Банк</w:t>
            </w:r>
            <w:r w:rsidR="00401C97">
              <w:t>»</w:t>
            </w:r>
            <w:r w:rsidRPr="00741104">
              <w:t xml:space="preserve"> </w:t>
            </w:r>
          </w:p>
        </w:tc>
        <w:tc>
          <w:tcPr>
            <w:tcW w:w="0" w:type="auto"/>
            <w:vAlign w:val="center"/>
          </w:tcPr>
          <w:p w14:paraId="313E8AE7" w14:textId="77777777" w:rsidR="00741104" w:rsidRPr="00741104" w:rsidRDefault="00741104" w:rsidP="00741104">
            <w:r w:rsidRPr="00741104">
              <w:t xml:space="preserve"> Банки </w:t>
            </w:r>
          </w:p>
        </w:tc>
        <w:tc>
          <w:tcPr>
            <w:tcW w:w="0" w:type="auto"/>
            <w:vAlign w:val="center"/>
          </w:tcPr>
          <w:p w14:paraId="47639A95" w14:textId="77777777" w:rsidR="00741104" w:rsidRPr="00741104" w:rsidRDefault="00741104" w:rsidP="00741104">
            <w:r w:rsidRPr="00741104">
              <w:t xml:space="preserve"> 11,5 </w:t>
            </w:r>
          </w:p>
        </w:tc>
      </w:tr>
      <w:tr w:rsidR="00741104" w:rsidRPr="00741104" w14:paraId="79BCA594" w14:textId="77777777" w:rsidTr="00C547F5">
        <w:trPr>
          <w:tblCellSpacing w:w="0" w:type="dxa"/>
        </w:trPr>
        <w:tc>
          <w:tcPr>
            <w:tcW w:w="0" w:type="auto"/>
            <w:vAlign w:val="center"/>
          </w:tcPr>
          <w:p w14:paraId="2A510CFE" w14:textId="35F662DA" w:rsidR="00741104" w:rsidRPr="00741104" w:rsidRDefault="00741104" w:rsidP="00741104">
            <w:r w:rsidRPr="00741104">
              <w:t xml:space="preserve"> ГК </w:t>
            </w:r>
            <w:r w:rsidR="00401C97">
              <w:t>«</w:t>
            </w:r>
            <w:r w:rsidRPr="00741104">
              <w:t>Элемент</w:t>
            </w:r>
            <w:r w:rsidR="00401C97">
              <w:t>»</w:t>
            </w:r>
            <w:r w:rsidRPr="00741104">
              <w:t xml:space="preserve"> </w:t>
            </w:r>
          </w:p>
        </w:tc>
        <w:tc>
          <w:tcPr>
            <w:tcW w:w="0" w:type="auto"/>
            <w:vAlign w:val="center"/>
          </w:tcPr>
          <w:p w14:paraId="026C3EA0" w14:textId="77777777" w:rsidR="00741104" w:rsidRPr="00741104" w:rsidRDefault="00741104" w:rsidP="00741104">
            <w:r w:rsidRPr="00741104">
              <w:t xml:space="preserve"> Микроэлектроника </w:t>
            </w:r>
          </w:p>
        </w:tc>
        <w:tc>
          <w:tcPr>
            <w:tcW w:w="0" w:type="auto"/>
            <w:vAlign w:val="center"/>
          </w:tcPr>
          <w:p w14:paraId="0DAB2525" w14:textId="77777777" w:rsidR="00741104" w:rsidRPr="00741104" w:rsidRDefault="00741104" w:rsidP="00741104">
            <w:r w:rsidRPr="00741104">
              <w:t xml:space="preserve"> 15,0 </w:t>
            </w:r>
          </w:p>
        </w:tc>
      </w:tr>
      <w:tr w:rsidR="00741104" w:rsidRPr="00741104" w14:paraId="391DF9C6" w14:textId="77777777" w:rsidTr="00C547F5">
        <w:trPr>
          <w:tblCellSpacing w:w="0" w:type="dxa"/>
        </w:trPr>
        <w:tc>
          <w:tcPr>
            <w:tcW w:w="0" w:type="auto"/>
            <w:vAlign w:val="center"/>
          </w:tcPr>
          <w:p w14:paraId="552904E4" w14:textId="77777777" w:rsidR="00741104" w:rsidRPr="00741104" w:rsidRDefault="00741104" w:rsidP="00741104">
            <w:r w:rsidRPr="00741104">
              <w:t xml:space="preserve"> Iva Technologies </w:t>
            </w:r>
          </w:p>
        </w:tc>
        <w:tc>
          <w:tcPr>
            <w:tcW w:w="0" w:type="auto"/>
            <w:vAlign w:val="center"/>
          </w:tcPr>
          <w:p w14:paraId="21AD8ED9" w14:textId="77777777" w:rsidR="00741104" w:rsidRPr="00741104" w:rsidRDefault="00741104" w:rsidP="00741104">
            <w:r w:rsidRPr="00741104">
              <w:t xml:space="preserve"> IT </w:t>
            </w:r>
          </w:p>
        </w:tc>
        <w:tc>
          <w:tcPr>
            <w:tcW w:w="0" w:type="auto"/>
            <w:vAlign w:val="center"/>
          </w:tcPr>
          <w:p w14:paraId="1A4DE384" w14:textId="77777777" w:rsidR="00741104" w:rsidRPr="00741104" w:rsidRDefault="00741104" w:rsidP="00741104">
            <w:r w:rsidRPr="00741104">
              <w:t xml:space="preserve"> 3,3 </w:t>
            </w:r>
          </w:p>
        </w:tc>
      </w:tr>
      <w:tr w:rsidR="00741104" w:rsidRPr="00741104" w14:paraId="2CA3EEAA" w14:textId="77777777" w:rsidTr="00C547F5">
        <w:trPr>
          <w:tblCellSpacing w:w="0" w:type="dxa"/>
        </w:trPr>
        <w:tc>
          <w:tcPr>
            <w:tcW w:w="0" w:type="auto"/>
            <w:vAlign w:val="center"/>
          </w:tcPr>
          <w:p w14:paraId="4E03EAF5" w14:textId="2906DB76" w:rsidR="00741104" w:rsidRPr="00741104" w:rsidRDefault="00741104" w:rsidP="00741104">
            <w:r w:rsidRPr="00741104">
              <w:t xml:space="preserve"> </w:t>
            </w:r>
            <w:r w:rsidR="00401C97">
              <w:t>«</w:t>
            </w:r>
            <w:r w:rsidRPr="00741104">
              <w:t>Всеинструменты.ру</w:t>
            </w:r>
            <w:r w:rsidR="00401C97">
              <w:t>»</w:t>
            </w:r>
            <w:r w:rsidRPr="00741104">
              <w:t xml:space="preserve"> </w:t>
            </w:r>
          </w:p>
        </w:tc>
        <w:tc>
          <w:tcPr>
            <w:tcW w:w="0" w:type="auto"/>
            <w:vAlign w:val="center"/>
          </w:tcPr>
          <w:p w14:paraId="0759A488" w14:textId="77777777" w:rsidR="00741104" w:rsidRPr="00741104" w:rsidRDefault="00741104" w:rsidP="00741104">
            <w:r w:rsidRPr="00741104">
              <w:t xml:space="preserve"> Торговля </w:t>
            </w:r>
          </w:p>
        </w:tc>
        <w:tc>
          <w:tcPr>
            <w:tcW w:w="0" w:type="auto"/>
            <w:vAlign w:val="center"/>
          </w:tcPr>
          <w:p w14:paraId="15099B9F" w14:textId="77777777" w:rsidR="00741104" w:rsidRPr="00741104" w:rsidRDefault="00741104" w:rsidP="00741104">
            <w:r w:rsidRPr="00741104">
              <w:t xml:space="preserve"> 12,0 </w:t>
            </w:r>
          </w:p>
        </w:tc>
      </w:tr>
      <w:tr w:rsidR="00741104" w:rsidRPr="00741104" w14:paraId="0C3B03CB" w14:textId="77777777" w:rsidTr="00C547F5">
        <w:trPr>
          <w:tblCellSpacing w:w="0" w:type="dxa"/>
        </w:trPr>
        <w:tc>
          <w:tcPr>
            <w:tcW w:w="0" w:type="auto"/>
            <w:vAlign w:val="center"/>
          </w:tcPr>
          <w:p w14:paraId="2807C9AC" w14:textId="22893DAD" w:rsidR="00741104" w:rsidRPr="00741104" w:rsidRDefault="00741104" w:rsidP="00741104">
            <w:r w:rsidRPr="00741104">
              <w:t xml:space="preserve"> </w:t>
            </w:r>
            <w:r w:rsidR="00401C97">
              <w:t>«</w:t>
            </w:r>
            <w:r w:rsidRPr="00741104">
              <w:t>Промомед</w:t>
            </w:r>
            <w:r w:rsidR="00401C97">
              <w:t>»</w:t>
            </w:r>
            <w:r w:rsidRPr="00741104">
              <w:t xml:space="preserve"> </w:t>
            </w:r>
          </w:p>
        </w:tc>
        <w:tc>
          <w:tcPr>
            <w:tcW w:w="0" w:type="auto"/>
            <w:vAlign w:val="center"/>
          </w:tcPr>
          <w:p w14:paraId="4DD0A420" w14:textId="77777777" w:rsidR="00741104" w:rsidRPr="00741104" w:rsidRDefault="00741104" w:rsidP="00741104">
            <w:r w:rsidRPr="00741104">
              <w:t xml:space="preserve"> Производство лекарственных препаратов </w:t>
            </w:r>
          </w:p>
        </w:tc>
        <w:tc>
          <w:tcPr>
            <w:tcW w:w="0" w:type="auto"/>
            <w:vAlign w:val="center"/>
          </w:tcPr>
          <w:p w14:paraId="583534E4" w14:textId="77777777" w:rsidR="00741104" w:rsidRPr="00741104" w:rsidRDefault="00741104" w:rsidP="00741104">
            <w:r w:rsidRPr="00741104">
              <w:t xml:space="preserve"> 6,0 </w:t>
            </w:r>
          </w:p>
        </w:tc>
      </w:tr>
      <w:tr w:rsidR="00741104" w:rsidRPr="00741104" w14:paraId="22599AE2" w14:textId="77777777" w:rsidTr="00C547F5">
        <w:trPr>
          <w:tblCellSpacing w:w="0" w:type="dxa"/>
        </w:trPr>
        <w:tc>
          <w:tcPr>
            <w:tcW w:w="0" w:type="auto"/>
            <w:vAlign w:val="center"/>
          </w:tcPr>
          <w:p w14:paraId="4F0D4AFA" w14:textId="5C4CF551" w:rsidR="00741104" w:rsidRPr="00741104" w:rsidRDefault="00741104" w:rsidP="00741104">
            <w:r w:rsidRPr="00741104">
              <w:t xml:space="preserve"> </w:t>
            </w:r>
            <w:r w:rsidR="00401C97">
              <w:t>«</w:t>
            </w:r>
            <w:r w:rsidRPr="00741104">
              <w:t>Апри</w:t>
            </w:r>
            <w:r w:rsidR="00401C97">
              <w:t>»</w:t>
            </w:r>
            <w:r w:rsidRPr="00741104">
              <w:t xml:space="preserve"> </w:t>
            </w:r>
          </w:p>
        </w:tc>
        <w:tc>
          <w:tcPr>
            <w:tcW w:w="0" w:type="auto"/>
            <w:vAlign w:val="center"/>
          </w:tcPr>
          <w:p w14:paraId="4C02368E" w14:textId="77777777" w:rsidR="00741104" w:rsidRPr="00741104" w:rsidRDefault="00741104" w:rsidP="00741104">
            <w:r w:rsidRPr="00741104">
              <w:t xml:space="preserve"> Девелопмент </w:t>
            </w:r>
          </w:p>
        </w:tc>
        <w:tc>
          <w:tcPr>
            <w:tcW w:w="0" w:type="auto"/>
            <w:vAlign w:val="center"/>
          </w:tcPr>
          <w:p w14:paraId="0BF3C858" w14:textId="77777777" w:rsidR="00741104" w:rsidRPr="00741104" w:rsidRDefault="00741104" w:rsidP="00741104">
            <w:r w:rsidRPr="00741104">
              <w:t xml:space="preserve"> 0,9 </w:t>
            </w:r>
          </w:p>
        </w:tc>
      </w:tr>
      <w:tr w:rsidR="00741104" w:rsidRPr="00741104" w14:paraId="5F3752EE" w14:textId="77777777" w:rsidTr="00C547F5">
        <w:trPr>
          <w:tblCellSpacing w:w="0" w:type="dxa"/>
        </w:trPr>
        <w:tc>
          <w:tcPr>
            <w:tcW w:w="0" w:type="auto"/>
            <w:vAlign w:val="center"/>
          </w:tcPr>
          <w:p w14:paraId="62978B71" w14:textId="104A86D7" w:rsidR="00741104" w:rsidRPr="00741104" w:rsidRDefault="00741104" w:rsidP="00741104">
            <w:r w:rsidRPr="00741104">
              <w:t xml:space="preserve"> </w:t>
            </w:r>
            <w:r w:rsidR="00401C97">
              <w:t>«</w:t>
            </w:r>
            <w:r w:rsidRPr="00741104">
              <w:t>Аренадата</w:t>
            </w:r>
            <w:r w:rsidR="00401C97">
              <w:t>»</w:t>
            </w:r>
            <w:r w:rsidRPr="00741104">
              <w:t xml:space="preserve"> </w:t>
            </w:r>
          </w:p>
        </w:tc>
        <w:tc>
          <w:tcPr>
            <w:tcW w:w="0" w:type="auto"/>
            <w:vAlign w:val="center"/>
          </w:tcPr>
          <w:p w14:paraId="6ACD68DB" w14:textId="77777777" w:rsidR="00741104" w:rsidRPr="00741104" w:rsidRDefault="00741104" w:rsidP="00741104">
            <w:r w:rsidRPr="00741104">
              <w:t xml:space="preserve"> IT, базы данных </w:t>
            </w:r>
          </w:p>
        </w:tc>
        <w:tc>
          <w:tcPr>
            <w:tcW w:w="0" w:type="auto"/>
            <w:vAlign w:val="center"/>
          </w:tcPr>
          <w:p w14:paraId="653C8E98" w14:textId="77777777" w:rsidR="00741104" w:rsidRPr="00741104" w:rsidRDefault="00741104" w:rsidP="00741104">
            <w:r w:rsidRPr="00741104">
              <w:t xml:space="preserve"> 2,7 </w:t>
            </w:r>
          </w:p>
        </w:tc>
      </w:tr>
      <w:tr w:rsidR="00741104" w:rsidRPr="00741104" w14:paraId="06A84037" w14:textId="77777777" w:rsidTr="00C547F5">
        <w:trPr>
          <w:tblCellSpacing w:w="0" w:type="dxa"/>
        </w:trPr>
        <w:tc>
          <w:tcPr>
            <w:tcW w:w="0" w:type="auto"/>
            <w:vAlign w:val="center"/>
          </w:tcPr>
          <w:p w14:paraId="68755C02" w14:textId="06EFF161" w:rsidR="00741104" w:rsidRPr="00741104" w:rsidRDefault="00741104" w:rsidP="00741104">
            <w:r w:rsidRPr="00741104">
              <w:t xml:space="preserve"> </w:t>
            </w:r>
            <w:r w:rsidR="00401C97">
              <w:t>«</w:t>
            </w:r>
            <w:r w:rsidRPr="00741104">
              <w:t>Озон фармацевтика</w:t>
            </w:r>
            <w:r w:rsidR="00401C97">
              <w:t>»</w:t>
            </w:r>
            <w:r w:rsidRPr="00741104">
              <w:t xml:space="preserve"> </w:t>
            </w:r>
          </w:p>
        </w:tc>
        <w:tc>
          <w:tcPr>
            <w:tcW w:w="0" w:type="auto"/>
            <w:vAlign w:val="center"/>
          </w:tcPr>
          <w:p w14:paraId="7957B9FA" w14:textId="77777777" w:rsidR="00741104" w:rsidRPr="00741104" w:rsidRDefault="00741104" w:rsidP="00741104">
            <w:r w:rsidRPr="00741104">
              <w:t xml:space="preserve"> Производство лекарственных препаратов </w:t>
            </w:r>
          </w:p>
        </w:tc>
        <w:tc>
          <w:tcPr>
            <w:tcW w:w="0" w:type="auto"/>
            <w:vAlign w:val="center"/>
          </w:tcPr>
          <w:p w14:paraId="35869253" w14:textId="77777777" w:rsidR="00741104" w:rsidRPr="00741104" w:rsidRDefault="00741104" w:rsidP="00741104">
            <w:r w:rsidRPr="00741104">
              <w:t xml:space="preserve"> 3,5 </w:t>
            </w:r>
          </w:p>
        </w:tc>
      </w:tr>
      <w:tr w:rsidR="00741104" w:rsidRPr="00741104" w14:paraId="4270D985" w14:textId="77777777" w:rsidTr="00C547F5">
        <w:trPr>
          <w:tblCellSpacing w:w="0" w:type="dxa"/>
        </w:trPr>
        <w:tc>
          <w:tcPr>
            <w:tcW w:w="0" w:type="auto"/>
            <w:vAlign w:val="center"/>
          </w:tcPr>
          <w:p w14:paraId="7FB42B15" w14:textId="458B87C5" w:rsidR="00741104" w:rsidRPr="00741104" w:rsidRDefault="00741104" w:rsidP="00741104">
            <w:r w:rsidRPr="00741104">
              <w:t xml:space="preserve"> </w:t>
            </w:r>
            <w:r w:rsidR="00401C97">
              <w:t>«</w:t>
            </w:r>
            <w:r w:rsidRPr="00741104">
              <w:t>Ламбумиз</w:t>
            </w:r>
            <w:r w:rsidR="00401C97">
              <w:t>»</w:t>
            </w:r>
          </w:p>
        </w:tc>
        <w:tc>
          <w:tcPr>
            <w:tcW w:w="0" w:type="auto"/>
            <w:vAlign w:val="center"/>
          </w:tcPr>
          <w:p w14:paraId="3DE5D22B" w14:textId="77777777" w:rsidR="00741104" w:rsidRPr="00741104" w:rsidRDefault="00741104" w:rsidP="00741104">
            <w:r w:rsidRPr="00741104">
              <w:t xml:space="preserve"> Производство упаковки</w:t>
            </w:r>
          </w:p>
        </w:tc>
        <w:tc>
          <w:tcPr>
            <w:tcW w:w="0" w:type="auto"/>
            <w:vAlign w:val="center"/>
          </w:tcPr>
          <w:p w14:paraId="34BC9A1B" w14:textId="77777777" w:rsidR="00741104" w:rsidRPr="00741104" w:rsidRDefault="00741104" w:rsidP="00741104">
            <w:r w:rsidRPr="00741104">
              <w:t xml:space="preserve"> 0,8 </w:t>
            </w:r>
          </w:p>
        </w:tc>
      </w:tr>
      <w:tr w:rsidR="00741104" w:rsidRPr="00741104" w14:paraId="42B2EF30" w14:textId="77777777" w:rsidTr="00C547F5">
        <w:trPr>
          <w:tblCellSpacing w:w="0" w:type="dxa"/>
        </w:trPr>
        <w:tc>
          <w:tcPr>
            <w:tcW w:w="0" w:type="auto"/>
            <w:vAlign w:val="center"/>
          </w:tcPr>
          <w:p w14:paraId="7E55A9BD" w14:textId="77777777" w:rsidR="00741104" w:rsidRPr="00741104" w:rsidRDefault="00741104" w:rsidP="00741104">
            <w:r w:rsidRPr="00741104">
              <w:t xml:space="preserve"> Итого</w:t>
            </w:r>
          </w:p>
        </w:tc>
        <w:tc>
          <w:tcPr>
            <w:tcW w:w="0" w:type="auto"/>
            <w:vAlign w:val="center"/>
          </w:tcPr>
          <w:p w14:paraId="375DC37A" w14:textId="77777777" w:rsidR="00741104" w:rsidRPr="00741104" w:rsidRDefault="00741104" w:rsidP="00741104">
            <w:r w:rsidRPr="00741104">
              <w:t xml:space="preserve"> </w:t>
            </w:r>
          </w:p>
        </w:tc>
        <w:tc>
          <w:tcPr>
            <w:tcW w:w="0" w:type="auto"/>
            <w:vAlign w:val="center"/>
          </w:tcPr>
          <w:p w14:paraId="2320F710" w14:textId="77777777" w:rsidR="00741104" w:rsidRPr="00741104" w:rsidRDefault="00741104" w:rsidP="00741104">
            <w:r w:rsidRPr="00741104">
              <w:t xml:space="preserve"> 82 </w:t>
            </w:r>
          </w:p>
        </w:tc>
      </w:tr>
    </w:tbl>
    <w:p w14:paraId="34EC5BB9" w14:textId="1F4E7C3E" w:rsidR="00741104" w:rsidRPr="00741104" w:rsidRDefault="00741104" w:rsidP="00741104">
      <w:r w:rsidRPr="00741104">
        <w:t xml:space="preserve">Источник: ПАО </w:t>
      </w:r>
      <w:r w:rsidR="00401C97">
        <w:t>«</w:t>
      </w:r>
      <w:r w:rsidRPr="00741104">
        <w:t>Московская биржа</w:t>
      </w:r>
      <w:r w:rsidR="00401C97">
        <w:t>»</w:t>
      </w:r>
      <w:r w:rsidRPr="00741104">
        <w:t xml:space="preserve">, ПАО </w:t>
      </w:r>
      <w:r w:rsidR="00401C97">
        <w:t>«</w:t>
      </w:r>
      <w:r w:rsidRPr="00741104">
        <w:t>СПБ Биржа</w:t>
      </w:r>
      <w:r w:rsidR="00401C97">
        <w:t>»</w:t>
      </w:r>
    </w:p>
    <w:p w14:paraId="6A87A9D6" w14:textId="77777777" w:rsidR="00741104" w:rsidRPr="00741104" w:rsidRDefault="00741104" w:rsidP="00741104">
      <w:r w:rsidRPr="00741104">
        <w:lastRenderedPageBreak/>
        <w:t>2025 год: охлаждение спроса и прагматизм</w:t>
      </w:r>
    </w:p>
    <w:p w14:paraId="718B6A94" w14:textId="77777777" w:rsidR="00741104" w:rsidRPr="00741104" w:rsidRDefault="00741104" w:rsidP="00741104">
      <w:r w:rsidRPr="00741104">
        <w:t>Ситуация изменилась в 2025 году. Эйфория восстановительного спроса сменилась прагматизмом на фоне продолжающейся жесткой кредитно-денежной политики.</w:t>
      </w:r>
    </w:p>
    <w:p w14:paraId="0C84A8EE" w14:textId="77777777" w:rsidR="00741104" w:rsidRPr="00741104" w:rsidRDefault="00741104" w:rsidP="00741104">
      <w:r w:rsidRPr="00741104">
        <w:t xml:space="preserve">Причины малого количества размещений в 2025 году: </w:t>
      </w:r>
    </w:p>
    <w:p w14:paraId="58515AFF" w14:textId="77777777" w:rsidR="00741104" w:rsidRPr="00741104" w:rsidRDefault="00741104" w:rsidP="00741104">
      <w:pPr>
        <w:numPr>
          <w:ilvl w:val="0"/>
          <w:numId w:val="32"/>
        </w:numPr>
      </w:pPr>
      <w:r w:rsidRPr="00741104">
        <w:t xml:space="preserve">конкуренция с депозитами. Безрисковая доходность (депозиты) составляла 20-23%. Инвесторы потеряли мотивацию рисковать в акциях ради дивидендов или негарантированного роста цены акции; </w:t>
      </w:r>
    </w:p>
    <w:p w14:paraId="441CCCBE" w14:textId="77777777" w:rsidR="00741104" w:rsidRPr="00741104" w:rsidRDefault="00741104" w:rsidP="00741104">
      <w:pPr>
        <w:numPr>
          <w:ilvl w:val="0"/>
          <w:numId w:val="32"/>
        </w:numPr>
      </w:pPr>
      <w:r w:rsidRPr="00741104">
        <w:t xml:space="preserve">стоимость оценки. Эмитенты не готовы были размещаться с дисконтом, которого требует рынок в условиях дорогих денег. </w:t>
      </w:r>
    </w:p>
    <w:p w14:paraId="1FE76247" w14:textId="02135BDF" w:rsidR="00741104" w:rsidRPr="00741104" w:rsidRDefault="00741104" w:rsidP="00741104">
      <w:r w:rsidRPr="00741104">
        <w:t xml:space="preserve">Успешными в 2025 году стали единичные компании, сумевшие привлечь институциональных инвесторов, основным из которых был </w:t>
      </w:r>
      <w:r w:rsidR="00401C97">
        <w:t>«</w:t>
      </w:r>
      <w:r w:rsidRPr="00741104">
        <w:t>ДОМ.РФ</w:t>
      </w:r>
      <w:r w:rsidR="00401C97">
        <w:t>»</w:t>
      </w:r>
      <w:r w:rsidRPr="00741104">
        <w:t>. Являясь государственной корпорацией с прозрачным бизнесом в сфере жилья и ипотеки, компания была воспринята инвесторами как аналог государственных долговых бумаг, но с потенциалом роста акций. Около 70% объема размещения выкупили крупные банки и пенсионные фонды. Сформированная дивидендная политика повысила привлекательность бумаги для инвесторов.</w:t>
      </w:r>
    </w:p>
    <w:p w14:paraId="0AB1FBB0" w14:textId="14769E19" w:rsidR="00741104" w:rsidRPr="00741104" w:rsidRDefault="00741104" w:rsidP="00741104">
      <w:r w:rsidRPr="00741104">
        <w:t xml:space="preserve">Компания </w:t>
      </w:r>
      <w:r w:rsidR="00401C97">
        <w:t>«</w:t>
      </w:r>
      <w:r w:rsidRPr="00741104">
        <w:t>Базис</w:t>
      </w:r>
      <w:r w:rsidR="00401C97">
        <w:t>»</w:t>
      </w:r>
      <w:r w:rsidRPr="00741104">
        <w:t xml:space="preserve"> с уникальным продуктом смогла привлечь во время IPO сумму 3 млрд рублей, из которых 39% пришлось на институциональных инвесторов. Инвесторы охотно покупали историю импортозамещения. Статус дочерней структуры </w:t>
      </w:r>
      <w:r w:rsidR="00401C97">
        <w:t>«</w:t>
      </w:r>
      <w:r w:rsidRPr="00741104">
        <w:t>Ростелекома</w:t>
      </w:r>
      <w:r w:rsidR="00401C97">
        <w:t>»</w:t>
      </w:r>
      <w:r w:rsidRPr="00741104">
        <w:t xml:space="preserve"> добавил доверия к корпоративному управлению и финансовой устойчивости.</w:t>
      </w:r>
    </w:p>
    <w:p w14:paraId="691143C3" w14:textId="77777777" w:rsidR="00741104" w:rsidRPr="00741104" w:rsidRDefault="00741104" w:rsidP="00741104">
      <w:r w:rsidRPr="00741104">
        <w:t>Таблица 5. Результаты IPO в 2025 году</w:t>
      </w:r>
    </w:p>
    <w:tbl>
      <w:tblPr>
        <w:tblW w:w="0" w:type="auto"/>
        <w:tblCellSpacing w:w="0" w:type="dxa"/>
        <w:tblCellMar>
          <w:left w:w="0" w:type="dxa"/>
          <w:right w:w="0" w:type="dxa"/>
        </w:tblCellMar>
        <w:tblLook w:val="04A0" w:firstRow="1" w:lastRow="0" w:firstColumn="1" w:lastColumn="0" w:noHBand="0" w:noVBand="1"/>
      </w:tblPr>
      <w:tblGrid>
        <w:gridCol w:w="1677"/>
        <w:gridCol w:w="1506"/>
        <w:gridCol w:w="3225"/>
      </w:tblGrid>
      <w:tr w:rsidR="00741104" w:rsidRPr="00741104" w14:paraId="42B35207" w14:textId="77777777" w:rsidTr="00C547F5">
        <w:trPr>
          <w:tblCellSpacing w:w="0" w:type="dxa"/>
        </w:trPr>
        <w:tc>
          <w:tcPr>
            <w:tcW w:w="0" w:type="auto"/>
            <w:vAlign w:val="center"/>
          </w:tcPr>
          <w:p w14:paraId="56616BDA" w14:textId="77777777" w:rsidR="00741104" w:rsidRPr="00741104" w:rsidRDefault="00741104" w:rsidP="00741104">
            <w:r w:rsidRPr="00741104">
              <w:t xml:space="preserve"> Компания</w:t>
            </w:r>
          </w:p>
        </w:tc>
        <w:tc>
          <w:tcPr>
            <w:tcW w:w="0" w:type="auto"/>
            <w:vAlign w:val="center"/>
          </w:tcPr>
          <w:p w14:paraId="72736621" w14:textId="77777777" w:rsidR="00741104" w:rsidRPr="00741104" w:rsidRDefault="00741104" w:rsidP="00741104">
            <w:r w:rsidRPr="00741104">
              <w:t xml:space="preserve"> Сектор</w:t>
            </w:r>
          </w:p>
        </w:tc>
        <w:tc>
          <w:tcPr>
            <w:tcW w:w="0" w:type="auto"/>
            <w:vAlign w:val="center"/>
          </w:tcPr>
          <w:p w14:paraId="5021FB52" w14:textId="77777777" w:rsidR="00741104" w:rsidRPr="00741104" w:rsidRDefault="00741104" w:rsidP="00741104">
            <w:r w:rsidRPr="00741104">
              <w:t xml:space="preserve"> Объем привлечения, млрд руб.</w:t>
            </w:r>
          </w:p>
        </w:tc>
      </w:tr>
      <w:tr w:rsidR="00741104" w:rsidRPr="00741104" w14:paraId="718CFB28" w14:textId="77777777" w:rsidTr="00C547F5">
        <w:trPr>
          <w:tblCellSpacing w:w="0" w:type="dxa"/>
        </w:trPr>
        <w:tc>
          <w:tcPr>
            <w:tcW w:w="0" w:type="auto"/>
            <w:gridSpan w:val="3"/>
            <w:vAlign w:val="center"/>
          </w:tcPr>
          <w:p w14:paraId="745EBD31" w14:textId="77777777" w:rsidR="00741104" w:rsidRPr="00741104" w:rsidRDefault="00741104" w:rsidP="00741104">
            <w:r w:rsidRPr="00741104">
              <w:t xml:space="preserve"> 2025</w:t>
            </w:r>
          </w:p>
        </w:tc>
      </w:tr>
      <w:tr w:rsidR="00741104" w:rsidRPr="00741104" w14:paraId="350AA2D4" w14:textId="77777777" w:rsidTr="00C547F5">
        <w:trPr>
          <w:tblCellSpacing w:w="0" w:type="dxa"/>
        </w:trPr>
        <w:tc>
          <w:tcPr>
            <w:tcW w:w="0" w:type="auto"/>
            <w:vAlign w:val="center"/>
          </w:tcPr>
          <w:p w14:paraId="488C1F33" w14:textId="3969F9BB" w:rsidR="00741104" w:rsidRPr="00741104" w:rsidRDefault="00741104" w:rsidP="00741104">
            <w:r w:rsidRPr="00741104">
              <w:t xml:space="preserve"> </w:t>
            </w:r>
            <w:r w:rsidR="00401C97">
              <w:t>«</w:t>
            </w:r>
            <w:r w:rsidRPr="00741104">
              <w:t>ДОМ.РФ</w:t>
            </w:r>
            <w:r w:rsidR="00401C97">
              <w:t>»</w:t>
            </w:r>
          </w:p>
        </w:tc>
        <w:tc>
          <w:tcPr>
            <w:tcW w:w="0" w:type="auto"/>
            <w:vAlign w:val="center"/>
          </w:tcPr>
          <w:p w14:paraId="4295B022" w14:textId="77777777" w:rsidR="00741104" w:rsidRPr="00741104" w:rsidRDefault="00741104" w:rsidP="00741104">
            <w:r w:rsidRPr="00741104">
              <w:t xml:space="preserve"> Банки</w:t>
            </w:r>
          </w:p>
        </w:tc>
        <w:tc>
          <w:tcPr>
            <w:tcW w:w="0" w:type="auto"/>
            <w:vAlign w:val="center"/>
          </w:tcPr>
          <w:p w14:paraId="0392E292" w14:textId="77777777" w:rsidR="00741104" w:rsidRPr="00741104" w:rsidRDefault="00741104" w:rsidP="00741104">
            <w:r w:rsidRPr="00741104">
              <w:t xml:space="preserve"> 31,7 </w:t>
            </w:r>
          </w:p>
        </w:tc>
      </w:tr>
      <w:tr w:rsidR="00741104" w:rsidRPr="00741104" w14:paraId="22C386D9" w14:textId="77777777" w:rsidTr="00C547F5">
        <w:trPr>
          <w:tblCellSpacing w:w="0" w:type="dxa"/>
        </w:trPr>
        <w:tc>
          <w:tcPr>
            <w:tcW w:w="0" w:type="auto"/>
            <w:vAlign w:val="center"/>
          </w:tcPr>
          <w:p w14:paraId="741563CC" w14:textId="77A488E7" w:rsidR="00741104" w:rsidRPr="00741104" w:rsidRDefault="00741104" w:rsidP="00741104">
            <w:r w:rsidRPr="00741104">
              <w:t xml:space="preserve"> Группа </w:t>
            </w:r>
            <w:r w:rsidR="00401C97">
              <w:t>«</w:t>
            </w:r>
            <w:r w:rsidRPr="00741104">
              <w:t>Базис</w:t>
            </w:r>
            <w:r w:rsidR="00401C97">
              <w:t>»</w:t>
            </w:r>
          </w:p>
        </w:tc>
        <w:tc>
          <w:tcPr>
            <w:tcW w:w="0" w:type="auto"/>
            <w:vAlign w:val="center"/>
          </w:tcPr>
          <w:p w14:paraId="73A27F91" w14:textId="77777777" w:rsidR="00741104" w:rsidRPr="00741104" w:rsidRDefault="00741104" w:rsidP="00741104">
            <w:r w:rsidRPr="00741104">
              <w:t xml:space="preserve"> IT</w:t>
            </w:r>
          </w:p>
        </w:tc>
        <w:tc>
          <w:tcPr>
            <w:tcW w:w="0" w:type="auto"/>
            <w:vAlign w:val="center"/>
          </w:tcPr>
          <w:p w14:paraId="3C04E49F" w14:textId="77777777" w:rsidR="00741104" w:rsidRPr="00741104" w:rsidRDefault="00741104" w:rsidP="00741104">
            <w:r w:rsidRPr="00741104">
              <w:t xml:space="preserve"> 3,0 </w:t>
            </w:r>
          </w:p>
        </w:tc>
      </w:tr>
      <w:tr w:rsidR="00741104" w:rsidRPr="00741104" w14:paraId="6B50F740" w14:textId="77777777" w:rsidTr="00C547F5">
        <w:trPr>
          <w:tblCellSpacing w:w="0" w:type="dxa"/>
        </w:trPr>
        <w:tc>
          <w:tcPr>
            <w:tcW w:w="0" w:type="auto"/>
            <w:vAlign w:val="center"/>
          </w:tcPr>
          <w:p w14:paraId="4218F991" w14:textId="78139EAA" w:rsidR="00741104" w:rsidRPr="00741104" w:rsidRDefault="00741104" w:rsidP="00741104">
            <w:r w:rsidRPr="00741104">
              <w:t xml:space="preserve"> </w:t>
            </w:r>
            <w:r w:rsidR="00401C97">
              <w:t>«</w:t>
            </w:r>
            <w:r w:rsidRPr="00741104">
              <w:t>Глоракс</w:t>
            </w:r>
            <w:r w:rsidR="00401C97">
              <w:t>»</w:t>
            </w:r>
          </w:p>
        </w:tc>
        <w:tc>
          <w:tcPr>
            <w:tcW w:w="0" w:type="auto"/>
            <w:vAlign w:val="center"/>
          </w:tcPr>
          <w:p w14:paraId="532AF522" w14:textId="77777777" w:rsidR="00741104" w:rsidRPr="00741104" w:rsidRDefault="00741104" w:rsidP="00741104">
            <w:r w:rsidRPr="00741104">
              <w:t xml:space="preserve"> Девелопмент</w:t>
            </w:r>
          </w:p>
        </w:tc>
        <w:tc>
          <w:tcPr>
            <w:tcW w:w="0" w:type="auto"/>
            <w:vAlign w:val="center"/>
          </w:tcPr>
          <w:p w14:paraId="320B01CE" w14:textId="77777777" w:rsidR="00741104" w:rsidRPr="00741104" w:rsidRDefault="00741104" w:rsidP="00741104">
            <w:r w:rsidRPr="00741104">
              <w:t xml:space="preserve"> 2,1 </w:t>
            </w:r>
          </w:p>
        </w:tc>
      </w:tr>
      <w:tr w:rsidR="00741104" w:rsidRPr="00741104" w14:paraId="1E4A0C20" w14:textId="77777777" w:rsidTr="00C547F5">
        <w:trPr>
          <w:tblCellSpacing w:w="0" w:type="dxa"/>
        </w:trPr>
        <w:tc>
          <w:tcPr>
            <w:tcW w:w="0" w:type="auto"/>
            <w:vAlign w:val="center"/>
          </w:tcPr>
          <w:p w14:paraId="1C2A5407" w14:textId="77777777" w:rsidR="00741104" w:rsidRPr="00741104" w:rsidRDefault="00741104" w:rsidP="00741104">
            <w:r w:rsidRPr="00741104">
              <w:t xml:space="preserve"> Jetlend</w:t>
            </w:r>
          </w:p>
        </w:tc>
        <w:tc>
          <w:tcPr>
            <w:tcW w:w="0" w:type="auto"/>
            <w:vAlign w:val="center"/>
          </w:tcPr>
          <w:p w14:paraId="1EE65B19" w14:textId="77777777" w:rsidR="00741104" w:rsidRPr="00741104" w:rsidRDefault="00741104" w:rsidP="00741104">
            <w:r w:rsidRPr="00741104">
              <w:t xml:space="preserve"> Кредитование</w:t>
            </w:r>
          </w:p>
        </w:tc>
        <w:tc>
          <w:tcPr>
            <w:tcW w:w="0" w:type="auto"/>
            <w:vAlign w:val="center"/>
          </w:tcPr>
          <w:p w14:paraId="06419DA9" w14:textId="77777777" w:rsidR="00741104" w:rsidRPr="00741104" w:rsidRDefault="00741104" w:rsidP="00741104">
            <w:r w:rsidRPr="00741104">
              <w:t xml:space="preserve"> 0,5 </w:t>
            </w:r>
          </w:p>
        </w:tc>
      </w:tr>
      <w:tr w:rsidR="00741104" w:rsidRPr="00741104" w14:paraId="2F23EC75" w14:textId="77777777" w:rsidTr="00C547F5">
        <w:trPr>
          <w:tblCellSpacing w:w="0" w:type="dxa"/>
        </w:trPr>
        <w:tc>
          <w:tcPr>
            <w:tcW w:w="0" w:type="auto"/>
            <w:vAlign w:val="center"/>
          </w:tcPr>
          <w:p w14:paraId="19BFF627" w14:textId="77777777" w:rsidR="00741104" w:rsidRPr="00741104" w:rsidRDefault="00741104" w:rsidP="00741104">
            <w:r w:rsidRPr="00741104">
              <w:t xml:space="preserve"> Итого</w:t>
            </w:r>
          </w:p>
        </w:tc>
        <w:tc>
          <w:tcPr>
            <w:tcW w:w="0" w:type="auto"/>
            <w:vAlign w:val="center"/>
          </w:tcPr>
          <w:p w14:paraId="7452F76D" w14:textId="77777777" w:rsidR="00741104" w:rsidRPr="00741104" w:rsidRDefault="00741104" w:rsidP="00741104">
            <w:r w:rsidRPr="00741104">
              <w:t xml:space="preserve"> </w:t>
            </w:r>
          </w:p>
        </w:tc>
        <w:tc>
          <w:tcPr>
            <w:tcW w:w="0" w:type="auto"/>
            <w:vAlign w:val="center"/>
          </w:tcPr>
          <w:p w14:paraId="2DEB18D2" w14:textId="77777777" w:rsidR="00741104" w:rsidRPr="00741104" w:rsidRDefault="00741104" w:rsidP="00741104">
            <w:r w:rsidRPr="00741104">
              <w:t xml:space="preserve"> 37 </w:t>
            </w:r>
          </w:p>
        </w:tc>
      </w:tr>
    </w:tbl>
    <w:p w14:paraId="134E1116" w14:textId="55CA6C1C" w:rsidR="00741104" w:rsidRPr="00741104" w:rsidRDefault="00741104" w:rsidP="00741104">
      <w:r w:rsidRPr="00741104">
        <w:t xml:space="preserve">Источник: ПАО </w:t>
      </w:r>
      <w:r w:rsidR="00401C97">
        <w:t>«</w:t>
      </w:r>
      <w:r w:rsidRPr="00741104">
        <w:t>Московская биржа</w:t>
      </w:r>
      <w:r w:rsidR="00401C97">
        <w:t>»</w:t>
      </w:r>
      <w:r w:rsidRPr="00741104">
        <w:t xml:space="preserve">, ПАО </w:t>
      </w:r>
      <w:r w:rsidR="00401C97">
        <w:t>«</w:t>
      </w:r>
      <w:r w:rsidRPr="00741104">
        <w:t>СПБ Биржа</w:t>
      </w:r>
      <w:r w:rsidR="00401C97">
        <w:t>»</w:t>
      </w:r>
    </w:p>
    <w:p w14:paraId="34F225F3" w14:textId="77777777" w:rsidR="00741104" w:rsidRPr="00741104" w:rsidRDefault="00741104" w:rsidP="00741104">
      <w:r w:rsidRPr="00741104">
        <w:t>Таблица 6. Ключевая ставка как регулятор желания компании выходить на биржу</w:t>
      </w:r>
    </w:p>
    <w:tbl>
      <w:tblPr>
        <w:tblW w:w="0" w:type="auto"/>
        <w:tblCellSpacing w:w="0" w:type="dxa"/>
        <w:tblCellMar>
          <w:left w:w="0" w:type="dxa"/>
          <w:right w:w="0" w:type="dxa"/>
        </w:tblCellMar>
        <w:tblLook w:val="04A0" w:firstRow="1" w:lastRow="0" w:firstColumn="1" w:lastColumn="0" w:noHBand="0" w:noVBand="1"/>
      </w:tblPr>
      <w:tblGrid>
        <w:gridCol w:w="912"/>
        <w:gridCol w:w="1376"/>
        <w:gridCol w:w="1321"/>
        <w:gridCol w:w="5462"/>
      </w:tblGrid>
      <w:tr w:rsidR="00741104" w:rsidRPr="00741104" w14:paraId="5106833D" w14:textId="77777777" w:rsidTr="00C547F5">
        <w:trPr>
          <w:tblCellSpacing w:w="0" w:type="dxa"/>
        </w:trPr>
        <w:tc>
          <w:tcPr>
            <w:tcW w:w="0" w:type="auto"/>
            <w:vAlign w:val="center"/>
          </w:tcPr>
          <w:p w14:paraId="48A6B484" w14:textId="77777777" w:rsidR="00741104" w:rsidRPr="00741104" w:rsidRDefault="00741104" w:rsidP="00741104">
            <w:r w:rsidRPr="00741104">
              <w:t xml:space="preserve"> Период</w:t>
            </w:r>
          </w:p>
        </w:tc>
        <w:tc>
          <w:tcPr>
            <w:tcW w:w="0" w:type="auto"/>
            <w:vAlign w:val="center"/>
          </w:tcPr>
          <w:p w14:paraId="3E68129B" w14:textId="77777777" w:rsidR="00741104" w:rsidRPr="00741104" w:rsidRDefault="00741104" w:rsidP="00741104">
            <w:r w:rsidRPr="00741104">
              <w:t xml:space="preserve"> Ставка ЦБ РФ</w:t>
            </w:r>
          </w:p>
        </w:tc>
        <w:tc>
          <w:tcPr>
            <w:tcW w:w="0" w:type="auto"/>
            <w:vAlign w:val="center"/>
          </w:tcPr>
          <w:p w14:paraId="399E984E" w14:textId="77777777" w:rsidR="00741104" w:rsidRPr="00741104" w:rsidRDefault="00741104" w:rsidP="00741104">
            <w:r w:rsidRPr="00741104">
              <w:t xml:space="preserve"> Рынок IPO</w:t>
            </w:r>
          </w:p>
        </w:tc>
        <w:tc>
          <w:tcPr>
            <w:tcW w:w="0" w:type="auto"/>
            <w:vAlign w:val="center"/>
          </w:tcPr>
          <w:p w14:paraId="1445B391" w14:textId="77777777" w:rsidR="00741104" w:rsidRPr="00741104" w:rsidRDefault="00741104" w:rsidP="00741104">
            <w:r w:rsidRPr="00741104">
              <w:t xml:space="preserve"> </w:t>
            </w:r>
          </w:p>
        </w:tc>
      </w:tr>
      <w:tr w:rsidR="00741104" w:rsidRPr="00741104" w14:paraId="546CA8D1" w14:textId="77777777" w:rsidTr="00C547F5">
        <w:trPr>
          <w:tblCellSpacing w:w="0" w:type="dxa"/>
        </w:trPr>
        <w:tc>
          <w:tcPr>
            <w:tcW w:w="0" w:type="auto"/>
            <w:vAlign w:val="center"/>
          </w:tcPr>
          <w:p w14:paraId="01E59288" w14:textId="77777777" w:rsidR="00741104" w:rsidRPr="00741104" w:rsidRDefault="00741104" w:rsidP="00741104">
            <w:r w:rsidRPr="00741104">
              <w:t xml:space="preserve"> 2020 - дек. 2021 г.</w:t>
            </w:r>
          </w:p>
        </w:tc>
        <w:tc>
          <w:tcPr>
            <w:tcW w:w="0" w:type="auto"/>
            <w:vAlign w:val="center"/>
          </w:tcPr>
          <w:p w14:paraId="5F3316F0" w14:textId="77777777" w:rsidR="00741104" w:rsidRPr="00741104" w:rsidRDefault="00741104" w:rsidP="00741104">
            <w:r w:rsidRPr="00741104">
              <w:t xml:space="preserve"> 4,25-7,5%</w:t>
            </w:r>
          </w:p>
        </w:tc>
        <w:tc>
          <w:tcPr>
            <w:tcW w:w="0" w:type="auto"/>
            <w:vAlign w:val="center"/>
          </w:tcPr>
          <w:p w14:paraId="4603E37C" w14:textId="77777777" w:rsidR="00741104" w:rsidRPr="00741104" w:rsidRDefault="00741104" w:rsidP="00741104">
            <w:r w:rsidRPr="00741104">
              <w:t xml:space="preserve"> Активный рост</w:t>
            </w:r>
          </w:p>
        </w:tc>
        <w:tc>
          <w:tcPr>
            <w:tcW w:w="0" w:type="auto"/>
            <w:vAlign w:val="center"/>
          </w:tcPr>
          <w:p w14:paraId="1E3AE4EA" w14:textId="77777777" w:rsidR="00741104" w:rsidRPr="00741104" w:rsidRDefault="00741104" w:rsidP="00741104">
            <w:r w:rsidRPr="00741104">
              <w:t xml:space="preserve"> Кредиты дешевые, доходность депозитов низкая. Инвесторы, в т. ч иностранные, ищут прибыль в акциях, компании получают высокие оценки.</w:t>
            </w:r>
          </w:p>
        </w:tc>
      </w:tr>
      <w:tr w:rsidR="00741104" w:rsidRPr="00741104" w14:paraId="7E6A4E06" w14:textId="77777777" w:rsidTr="00C547F5">
        <w:trPr>
          <w:tblCellSpacing w:w="0" w:type="dxa"/>
        </w:trPr>
        <w:tc>
          <w:tcPr>
            <w:tcW w:w="0" w:type="auto"/>
            <w:vAlign w:val="center"/>
          </w:tcPr>
          <w:p w14:paraId="67954286" w14:textId="77777777" w:rsidR="00741104" w:rsidRPr="00741104" w:rsidRDefault="00741104" w:rsidP="00741104">
            <w:r w:rsidRPr="00741104">
              <w:t xml:space="preserve"> 2022 г. </w:t>
            </w:r>
          </w:p>
        </w:tc>
        <w:tc>
          <w:tcPr>
            <w:tcW w:w="0" w:type="auto"/>
            <w:vAlign w:val="center"/>
          </w:tcPr>
          <w:p w14:paraId="6425FE65" w14:textId="77777777" w:rsidR="00741104" w:rsidRPr="00741104" w:rsidRDefault="00741104" w:rsidP="00741104">
            <w:r w:rsidRPr="00741104">
              <w:t xml:space="preserve"> 8,5-20%</w:t>
            </w:r>
          </w:p>
          <w:p w14:paraId="209D623A" w14:textId="77777777" w:rsidR="00741104" w:rsidRPr="00741104" w:rsidRDefault="00741104" w:rsidP="00741104">
            <w:r w:rsidRPr="00741104">
              <w:lastRenderedPageBreak/>
              <w:t>(временный пик) - 7,5%</w:t>
            </w:r>
          </w:p>
        </w:tc>
        <w:tc>
          <w:tcPr>
            <w:tcW w:w="0" w:type="auto"/>
            <w:vAlign w:val="center"/>
          </w:tcPr>
          <w:p w14:paraId="50CE165F" w14:textId="77777777" w:rsidR="00741104" w:rsidRPr="00741104" w:rsidRDefault="00741104" w:rsidP="00741104">
            <w:r w:rsidRPr="00741104">
              <w:lastRenderedPageBreak/>
              <w:t xml:space="preserve"> Остановка</w:t>
            </w:r>
          </w:p>
        </w:tc>
        <w:tc>
          <w:tcPr>
            <w:tcW w:w="0" w:type="auto"/>
            <w:vAlign w:val="center"/>
          </w:tcPr>
          <w:p w14:paraId="0D3D2969" w14:textId="77777777" w:rsidR="00741104" w:rsidRPr="00741104" w:rsidRDefault="00741104" w:rsidP="00741104">
            <w:r w:rsidRPr="00741104">
              <w:t xml:space="preserve"> Массовый уход нерезидентов с биржи, блокировка моста НРД - Euroclear. Проведено всего одно IPO.</w:t>
            </w:r>
          </w:p>
        </w:tc>
      </w:tr>
      <w:tr w:rsidR="00741104" w:rsidRPr="00741104" w14:paraId="2E40D0A6" w14:textId="77777777" w:rsidTr="00C547F5">
        <w:trPr>
          <w:tblCellSpacing w:w="0" w:type="dxa"/>
        </w:trPr>
        <w:tc>
          <w:tcPr>
            <w:tcW w:w="0" w:type="auto"/>
            <w:vAlign w:val="center"/>
          </w:tcPr>
          <w:p w14:paraId="4F4034D0" w14:textId="77777777" w:rsidR="00741104" w:rsidRPr="00741104" w:rsidRDefault="00741104" w:rsidP="00741104">
            <w:r w:rsidRPr="00741104">
              <w:t xml:space="preserve"> 2023 - сер. 2024 г.</w:t>
            </w:r>
          </w:p>
        </w:tc>
        <w:tc>
          <w:tcPr>
            <w:tcW w:w="0" w:type="auto"/>
            <w:vAlign w:val="center"/>
          </w:tcPr>
          <w:p w14:paraId="6D36FA7C" w14:textId="77777777" w:rsidR="00741104" w:rsidRPr="00741104" w:rsidRDefault="00741104" w:rsidP="00741104">
            <w:r w:rsidRPr="00741104">
              <w:t xml:space="preserve"> 7,5-16%</w:t>
            </w:r>
          </w:p>
        </w:tc>
        <w:tc>
          <w:tcPr>
            <w:tcW w:w="0" w:type="auto"/>
            <w:vAlign w:val="center"/>
          </w:tcPr>
          <w:p w14:paraId="7134489A" w14:textId="77777777" w:rsidR="00741104" w:rsidRPr="00741104" w:rsidRDefault="00741104" w:rsidP="00741104">
            <w:r w:rsidRPr="00741104">
              <w:t xml:space="preserve"> Бум</w:t>
            </w:r>
          </w:p>
          <w:p w14:paraId="7DD228F6" w14:textId="77777777" w:rsidR="00741104" w:rsidRPr="00741104" w:rsidRDefault="00741104" w:rsidP="00741104">
            <w:r w:rsidRPr="00741104">
              <w:t>размещений</w:t>
            </w:r>
          </w:p>
        </w:tc>
        <w:tc>
          <w:tcPr>
            <w:tcW w:w="0" w:type="auto"/>
            <w:vAlign w:val="center"/>
          </w:tcPr>
          <w:p w14:paraId="027A70AA" w14:textId="77777777" w:rsidR="00741104" w:rsidRPr="00741104" w:rsidRDefault="00741104" w:rsidP="00741104">
            <w:r w:rsidRPr="00741104">
              <w:t xml:space="preserve"> Ключевая ставка растет, но размещений много. Причина: запертый капитал внутри страны. Необходимость в импортозамещении. </w:t>
            </w:r>
          </w:p>
        </w:tc>
      </w:tr>
      <w:tr w:rsidR="00741104" w:rsidRPr="00741104" w14:paraId="5E111BAB" w14:textId="77777777" w:rsidTr="00C547F5">
        <w:trPr>
          <w:tblCellSpacing w:w="0" w:type="dxa"/>
        </w:trPr>
        <w:tc>
          <w:tcPr>
            <w:tcW w:w="0" w:type="auto"/>
            <w:vAlign w:val="center"/>
          </w:tcPr>
          <w:p w14:paraId="07912E34" w14:textId="77777777" w:rsidR="00741104" w:rsidRPr="00741104" w:rsidRDefault="00741104" w:rsidP="00741104">
            <w:r w:rsidRPr="00741104">
              <w:t xml:space="preserve"> 2024-2025 гг.</w:t>
            </w:r>
          </w:p>
        </w:tc>
        <w:tc>
          <w:tcPr>
            <w:tcW w:w="0" w:type="auto"/>
            <w:vAlign w:val="center"/>
          </w:tcPr>
          <w:p w14:paraId="67A6265A" w14:textId="77777777" w:rsidR="00741104" w:rsidRPr="00741104" w:rsidRDefault="00741104" w:rsidP="00741104">
            <w:r w:rsidRPr="00741104">
              <w:t xml:space="preserve"> 18-21-16%</w:t>
            </w:r>
          </w:p>
        </w:tc>
        <w:tc>
          <w:tcPr>
            <w:tcW w:w="0" w:type="auto"/>
            <w:vAlign w:val="center"/>
          </w:tcPr>
          <w:p w14:paraId="6C1A4400" w14:textId="77777777" w:rsidR="00741104" w:rsidRPr="00741104" w:rsidRDefault="00741104" w:rsidP="00741104">
            <w:r w:rsidRPr="00741104">
              <w:t xml:space="preserve"> Охлаждение </w:t>
            </w:r>
          </w:p>
        </w:tc>
        <w:tc>
          <w:tcPr>
            <w:tcW w:w="0" w:type="auto"/>
            <w:vAlign w:val="center"/>
          </w:tcPr>
          <w:p w14:paraId="46AFB720" w14:textId="77777777" w:rsidR="00741104" w:rsidRPr="00741104" w:rsidRDefault="00741104" w:rsidP="00741104">
            <w:r w:rsidRPr="00741104">
              <w:t xml:space="preserve"> Рынок столкнулся с новой реальностью - экстремально высокой стоимостью денег. Высокие ставки по депозитам были более привлекательным инструментом увеличения дохода, чем рисковать в акциях. Инвесторы стали крайне избирательны, требуя от компаний больших дисконтов.</w:t>
            </w:r>
          </w:p>
        </w:tc>
      </w:tr>
    </w:tbl>
    <w:p w14:paraId="506D6C4E" w14:textId="77777777" w:rsidR="00741104" w:rsidRPr="00741104" w:rsidRDefault="00741104" w:rsidP="00741104">
      <w:r w:rsidRPr="00741104">
        <w:t>Источник: Банк России</w:t>
      </w:r>
    </w:p>
    <w:p w14:paraId="10E0C8F3" w14:textId="77777777" w:rsidR="00741104" w:rsidRPr="00741104" w:rsidRDefault="00741104" w:rsidP="00741104">
      <w:r w:rsidRPr="00741104">
        <w:t>Влияние ключевой ставки на рынок IPO в 2026-2027 годах будет определяющим фактором, формирующим окно возможностей для новых размещений. После затяжного и жесткого режима денежно-кредитной политики в 2-х полугодиях 2024-2025 годов ожидаемое снижение ключевой ставки в 2026-м станет катализатором компаний для выхода на биржу. Вслед за снижением ключевой ставки упадет доходность по депозитам, доходность акций станет более привлекательной. Инвесторы будут готовы покупать акции, это позволит компаниям выходить на биржу с более высокой оценкой.</w:t>
      </w:r>
    </w:p>
    <w:p w14:paraId="1A89D93D" w14:textId="77777777" w:rsidR="00741104" w:rsidRPr="00741104" w:rsidRDefault="00741104" w:rsidP="00741104">
      <w:r w:rsidRPr="00741104">
        <w:t>Стратегическая цель - 2030 и мировая практика</w:t>
      </w:r>
    </w:p>
    <w:p w14:paraId="355FAD29" w14:textId="77777777" w:rsidR="00741104" w:rsidRPr="00741104" w:rsidRDefault="00741104" w:rsidP="00741104">
      <w:r w:rsidRPr="00741104">
        <w:t>В рамках реализации Указа Президента РФ № 309 от 07.05.2024 поставлена масштабная стратегическая задача: увеличить капитализацию фондового рынка до 66% ВВП к 2030 году (с последующим ростом до 75% к 2036-му).</w:t>
      </w:r>
    </w:p>
    <w:p w14:paraId="3282D9FC" w14:textId="77777777" w:rsidR="00741104" w:rsidRPr="00741104" w:rsidRDefault="00741104" w:rsidP="00741104">
      <w:r w:rsidRPr="00741104">
        <w:t>По итогам 2024 года капитализация фондового рынка составляла 26% от ВВП, по нашим оценкам, в 2025-м данный показатель составит 23%.</w:t>
      </w:r>
    </w:p>
    <w:p w14:paraId="60F15516" w14:textId="77777777" w:rsidR="00741104" w:rsidRPr="00741104" w:rsidRDefault="00741104" w:rsidP="00741104">
      <w:r w:rsidRPr="00741104">
        <w:t>Таблица 7. Капитализация фондового рынка в РФ, % от ВВП</w:t>
      </w:r>
    </w:p>
    <w:tbl>
      <w:tblPr>
        <w:tblW w:w="0" w:type="auto"/>
        <w:tblCellSpacing w:w="0" w:type="dxa"/>
        <w:tblCellMar>
          <w:left w:w="0" w:type="dxa"/>
          <w:right w:w="0" w:type="dxa"/>
        </w:tblCellMar>
        <w:tblLook w:val="04A0" w:firstRow="1" w:lastRow="0" w:firstColumn="1" w:lastColumn="0" w:noHBand="0" w:noVBand="1"/>
      </w:tblPr>
      <w:tblGrid>
        <w:gridCol w:w="6060"/>
        <w:gridCol w:w="540"/>
        <w:gridCol w:w="540"/>
        <w:gridCol w:w="540"/>
        <w:gridCol w:w="540"/>
        <w:gridCol w:w="687"/>
      </w:tblGrid>
      <w:tr w:rsidR="00741104" w:rsidRPr="00741104" w14:paraId="3799FF98" w14:textId="77777777" w:rsidTr="00C547F5">
        <w:trPr>
          <w:tblCellSpacing w:w="0" w:type="dxa"/>
        </w:trPr>
        <w:tc>
          <w:tcPr>
            <w:tcW w:w="0" w:type="auto"/>
            <w:vAlign w:val="center"/>
          </w:tcPr>
          <w:p w14:paraId="255A2434" w14:textId="77777777" w:rsidR="00741104" w:rsidRPr="00741104" w:rsidRDefault="00741104" w:rsidP="00741104">
            <w:r w:rsidRPr="00741104">
              <w:t xml:space="preserve"> Наименование</w:t>
            </w:r>
          </w:p>
        </w:tc>
        <w:tc>
          <w:tcPr>
            <w:tcW w:w="0" w:type="auto"/>
            <w:vAlign w:val="center"/>
          </w:tcPr>
          <w:p w14:paraId="0E2BB85C" w14:textId="77777777" w:rsidR="00741104" w:rsidRPr="00741104" w:rsidRDefault="00741104" w:rsidP="00741104">
            <w:r w:rsidRPr="00741104">
              <w:t xml:space="preserve"> 2021</w:t>
            </w:r>
          </w:p>
        </w:tc>
        <w:tc>
          <w:tcPr>
            <w:tcW w:w="0" w:type="auto"/>
            <w:vAlign w:val="center"/>
          </w:tcPr>
          <w:p w14:paraId="3E4C5041" w14:textId="77777777" w:rsidR="00741104" w:rsidRPr="00741104" w:rsidRDefault="00741104" w:rsidP="00741104">
            <w:r w:rsidRPr="00741104">
              <w:t xml:space="preserve"> 2022</w:t>
            </w:r>
          </w:p>
        </w:tc>
        <w:tc>
          <w:tcPr>
            <w:tcW w:w="0" w:type="auto"/>
            <w:vAlign w:val="center"/>
          </w:tcPr>
          <w:p w14:paraId="10AF953F" w14:textId="77777777" w:rsidR="00741104" w:rsidRPr="00741104" w:rsidRDefault="00741104" w:rsidP="00741104">
            <w:r w:rsidRPr="00741104">
              <w:t xml:space="preserve"> 2023</w:t>
            </w:r>
          </w:p>
        </w:tc>
        <w:tc>
          <w:tcPr>
            <w:tcW w:w="0" w:type="auto"/>
            <w:vAlign w:val="center"/>
          </w:tcPr>
          <w:p w14:paraId="3AFD5E3D" w14:textId="77777777" w:rsidR="00741104" w:rsidRPr="00741104" w:rsidRDefault="00741104" w:rsidP="00741104">
            <w:r w:rsidRPr="00741104">
              <w:t xml:space="preserve"> 2024</w:t>
            </w:r>
          </w:p>
        </w:tc>
        <w:tc>
          <w:tcPr>
            <w:tcW w:w="0" w:type="auto"/>
            <w:vAlign w:val="center"/>
          </w:tcPr>
          <w:p w14:paraId="25152786" w14:textId="77777777" w:rsidR="00741104" w:rsidRPr="00741104" w:rsidRDefault="00741104" w:rsidP="00741104">
            <w:r w:rsidRPr="00741104">
              <w:t xml:space="preserve"> 2025E</w:t>
            </w:r>
          </w:p>
        </w:tc>
      </w:tr>
      <w:tr w:rsidR="00741104" w:rsidRPr="00741104" w14:paraId="13C498ED" w14:textId="77777777" w:rsidTr="00C547F5">
        <w:trPr>
          <w:tblCellSpacing w:w="0" w:type="dxa"/>
        </w:trPr>
        <w:tc>
          <w:tcPr>
            <w:tcW w:w="0" w:type="auto"/>
            <w:vAlign w:val="center"/>
          </w:tcPr>
          <w:p w14:paraId="29EF41BD" w14:textId="77777777" w:rsidR="00741104" w:rsidRPr="00741104" w:rsidRDefault="00741104" w:rsidP="00741104">
            <w:r w:rsidRPr="00741104">
              <w:t xml:space="preserve"> Капитализация фондового рынка, на конец года, трлн руб.</w:t>
            </w:r>
          </w:p>
        </w:tc>
        <w:tc>
          <w:tcPr>
            <w:tcW w:w="0" w:type="auto"/>
            <w:vAlign w:val="center"/>
          </w:tcPr>
          <w:p w14:paraId="5AB9A921" w14:textId="77777777" w:rsidR="00741104" w:rsidRPr="00741104" w:rsidRDefault="00741104" w:rsidP="00741104">
            <w:r w:rsidRPr="00741104">
              <w:t xml:space="preserve"> 62,8 </w:t>
            </w:r>
          </w:p>
        </w:tc>
        <w:tc>
          <w:tcPr>
            <w:tcW w:w="0" w:type="auto"/>
            <w:vAlign w:val="center"/>
          </w:tcPr>
          <w:p w14:paraId="1F9A3D0B" w14:textId="77777777" w:rsidR="00741104" w:rsidRPr="00741104" w:rsidRDefault="00741104" w:rsidP="00741104">
            <w:r w:rsidRPr="00741104">
              <w:t xml:space="preserve"> 38,4 </w:t>
            </w:r>
          </w:p>
        </w:tc>
        <w:tc>
          <w:tcPr>
            <w:tcW w:w="0" w:type="auto"/>
            <w:vAlign w:val="center"/>
          </w:tcPr>
          <w:p w14:paraId="7B24919B" w14:textId="77777777" w:rsidR="00741104" w:rsidRPr="00741104" w:rsidRDefault="00741104" w:rsidP="00741104">
            <w:r w:rsidRPr="00741104">
              <w:t xml:space="preserve"> 56,9 </w:t>
            </w:r>
          </w:p>
        </w:tc>
        <w:tc>
          <w:tcPr>
            <w:tcW w:w="0" w:type="auto"/>
            <w:vAlign w:val="center"/>
          </w:tcPr>
          <w:p w14:paraId="44F2D381" w14:textId="77777777" w:rsidR="00741104" w:rsidRPr="00741104" w:rsidRDefault="00741104" w:rsidP="00741104">
            <w:r w:rsidRPr="00741104">
              <w:t xml:space="preserve"> 53,2 </w:t>
            </w:r>
          </w:p>
        </w:tc>
        <w:tc>
          <w:tcPr>
            <w:tcW w:w="0" w:type="auto"/>
            <w:vAlign w:val="center"/>
          </w:tcPr>
          <w:p w14:paraId="32A8E0CB" w14:textId="77777777" w:rsidR="00741104" w:rsidRPr="00741104" w:rsidRDefault="00741104" w:rsidP="00741104">
            <w:r w:rsidRPr="00741104">
              <w:t xml:space="preserve"> 50,0 </w:t>
            </w:r>
          </w:p>
        </w:tc>
      </w:tr>
      <w:tr w:rsidR="00741104" w:rsidRPr="00741104" w14:paraId="6BD1E4B4" w14:textId="77777777" w:rsidTr="00C547F5">
        <w:trPr>
          <w:tblCellSpacing w:w="0" w:type="dxa"/>
        </w:trPr>
        <w:tc>
          <w:tcPr>
            <w:tcW w:w="0" w:type="auto"/>
            <w:vAlign w:val="center"/>
          </w:tcPr>
          <w:p w14:paraId="782B7304" w14:textId="77777777" w:rsidR="00741104" w:rsidRPr="00741104" w:rsidRDefault="00741104" w:rsidP="00741104">
            <w:r w:rsidRPr="00741104">
              <w:t xml:space="preserve"> % от ВВП</w:t>
            </w:r>
          </w:p>
        </w:tc>
        <w:tc>
          <w:tcPr>
            <w:tcW w:w="0" w:type="auto"/>
            <w:vAlign w:val="center"/>
          </w:tcPr>
          <w:p w14:paraId="35E86620" w14:textId="77777777" w:rsidR="00741104" w:rsidRPr="00741104" w:rsidRDefault="00741104" w:rsidP="00741104">
            <w:r w:rsidRPr="00741104">
              <w:t xml:space="preserve"> 47 </w:t>
            </w:r>
          </w:p>
        </w:tc>
        <w:tc>
          <w:tcPr>
            <w:tcW w:w="0" w:type="auto"/>
            <w:vAlign w:val="center"/>
          </w:tcPr>
          <w:p w14:paraId="2FA2B543" w14:textId="77777777" w:rsidR="00741104" w:rsidRPr="00741104" w:rsidRDefault="00741104" w:rsidP="00741104">
            <w:r w:rsidRPr="00741104">
              <w:t xml:space="preserve"> 24 </w:t>
            </w:r>
          </w:p>
        </w:tc>
        <w:tc>
          <w:tcPr>
            <w:tcW w:w="0" w:type="auto"/>
            <w:vAlign w:val="center"/>
          </w:tcPr>
          <w:p w14:paraId="1010AACD" w14:textId="77777777" w:rsidR="00741104" w:rsidRPr="00741104" w:rsidRDefault="00741104" w:rsidP="00741104">
            <w:r w:rsidRPr="00741104">
              <w:t xml:space="preserve"> 32 </w:t>
            </w:r>
          </w:p>
        </w:tc>
        <w:tc>
          <w:tcPr>
            <w:tcW w:w="0" w:type="auto"/>
            <w:vAlign w:val="center"/>
          </w:tcPr>
          <w:p w14:paraId="6A753DAE" w14:textId="77777777" w:rsidR="00741104" w:rsidRPr="00741104" w:rsidRDefault="00741104" w:rsidP="00741104">
            <w:r w:rsidRPr="00741104">
              <w:t xml:space="preserve"> 26 </w:t>
            </w:r>
          </w:p>
        </w:tc>
        <w:tc>
          <w:tcPr>
            <w:tcW w:w="0" w:type="auto"/>
            <w:vAlign w:val="center"/>
          </w:tcPr>
          <w:p w14:paraId="2ECC39CB" w14:textId="77777777" w:rsidR="00741104" w:rsidRPr="00741104" w:rsidRDefault="00741104" w:rsidP="00741104">
            <w:r w:rsidRPr="00741104">
              <w:t xml:space="preserve"> 23 </w:t>
            </w:r>
          </w:p>
        </w:tc>
      </w:tr>
    </w:tbl>
    <w:p w14:paraId="1F4C42BA" w14:textId="2CCF13E2" w:rsidR="00741104" w:rsidRPr="00741104" w:rsidRDefault="00741104" w:rsidP="00741104">
      <w:r w:rsidRPr="00741104">
        <w:t xml:space="preserve">Источник: ПАО </w:t>
      </w:r>
      <w:r w:rsidR="00401C97">
        <w:t>«</w:t>
      </w:r>
      <w:r w:rsidRPr="00741104">
        <w:t>Московская биржа</w:t>
      </w:r>
      <w:r w:rsidR="00401C97">
        <w:t>»</w:t>
      </w:r>
      <w:r w:rsidRPr="00741104">
        <w:t xml:space="preserve">, Росстат, расчеты агентства </w:t>
      </w:r>
      <w:r w:rsidR="00401C97">
        <w:t>«</w:t>
      </w:r>
      <w:r w:rsidRPr="00741104">
        <w:t>Эксперт РА</w:t>
      </w:r>
      <w:r w:rsidR="00401C97">
        <w:t>»</w:t>
      </w:r>
    </w:p>
    <w:p w14:paraId="4BA89523" w14:textId="77777777" w:rsidR="00741104" w:rsidRPr="00741104" w:rsidRDefault="00741104" w:rsidP="00741104">
      <w:r w:rsidRPr="00741104">
        <w:t>Мировая практика подтверждает, наличие сильной базы институциональных инвесторов напрямую коррелирует с масштабом фондового рынка. В странах с развитой финансовой инфраструктурой капитализация фондового рынка сопоставима с объемом ВВП или даже превышает его. Это превращает рынок из площадки для спекуляций в зеркало национальной экономики.</w:t>
      </w:r>
    </w:p>
    <w:p w14:paraId="1D6E4911" w14:textId="77777777" w:rsidR="00741104" w:rsidRPr="00741104" w:rsidRDefault="00741104" w:rsidP="00741104">
      <w:r w:rsidRPr="00741104">
        <w:t>Таблица 8. Капитализация фондовых рынков в мире</w:t>
      </w:r>
    </w:p>
    <w:tbl>
      <w:tblPr>
        <w:tblW w:w="0" w:type="auto"/>
        <w:tblCellSpacing w:w="0" w:type="dxa"/>
        <w:tblCellMar>
          <w:left w:w="0" w:type="dxa"/>
          <w:right w:w="0" w:type="dxa"/>
        </w:tblCellMar>
        <w:tblLook w:val="04A0" w:firstRow="1" w:lastRow="0" w:firstColumn="1" w:lastColumn="0" w:noHBand="0" w:noVBand="1"/>
      </w:tblPr>
      <w:tblGrid>
        <w:gridCol w:w="1739"/>
        <w:gridCol w:w="3838"/>
        <w:gridCol w:w="3494"/>
      </w:tblGrid>
      <w:tr w:rsidR="00741104" w:rsidRPr="00741104" w14:paraId="25479303" w14:textId="77777777" w:rsidTr="00C547F5">
        <w:trPr>
          <w:tblCellSpacing w:w="0" w:type="dxa"/>
        </w:trPr>
        <w:tc>
          <w:tcPr>
            <w:tcW w:w="0" w:type="auto"/>
            <w:vAlign w:val="center"/>
          </w:tcPr>
          <w:p w14:paraId="2AF5D37D" w14:textId="77777777" w:rsidR="00741104" w:rsidRPr="00741104" w:rsidRDefault="00741104" w:rsidP="00741104">
            <w:r w:rsidRPr="00741104">
              <w:t xml:space="preserve"> Страна</w:t>
            </w:r>
          </w:p>
        </w:tc>
        <w:tc>
          <w:tcPr>
            <w:tcW w:w="0" w:type="auto"/>
            <w:vAlign w:val="center"/>
          </w:tcPr>
          <w:p w14:paraId="33BF32BC" w14:textId="77777777" w:rsidR="00741104" w:rsidRPr="00741104" w:rsidRDefault="00741104" w:rsidP="00741104">
            <w:r w:rsidRPr="00741104">
              <w:t xml:space="preserve"> Капитализация фондового рынка, трл долл. США</w:t>
            </w:r>
          </w:p>
        </w:tc>
        <w:tc>
          <w:tcPr>
            <w:tcW w:w="0" w:type="auto"/>
            <w:vAlign w:val="center"/>
          </w:tcPr>
          <w:p w14:paraId="490A2559" w14:textId="77777777" w:rsidR="00741104" w:rsidRPr="00741104" w:rsidRDefault="00741104" w:rsidP="00741104">
            <w:r w:rsidRPr="00741104">
              <w:t xml:space="preserve"> Капитализация фондового рынка, % от ВВП</w:t>
            </w:r>
          </w:p>
        </w:tc>
      </w:tr>
      <w:tr w:rsidR="00741104" w:rsidRPr="00741104" w14:paraId="586896E1" w14:textId="77777777" w:rsidTr="00C547F5">
        <w:trPr>
          <w:tblCellSpacing w:w="0" w:type="dxa"/>
        </w:trPr>
        <w:tc>
          <w:tcPr>
            <w:tcW w:w="0" w:type="auto"/>
            <w:vAlign w:val="center"/>
          </w:tcPr>
          <w:p w14:paraId="45DF9F19" w14:textId="77777777" w:rsidR="00741104" w:rsidRPr="00741104" w:rsidRDefault="00741104" w:rsidP="00741104">
            <w:r w:rsidRPr="00741104">
              <w:t xml:space="preserve"> США</w:t>
            </w:r>
          </w:p>
        </w:tc>
        <w:tc>
          <w:tcPr>
            <w:tcW w:w="0" w:type="auto"/>
            <w:vAlign w:val="center"/>
          </w:tcPr>
          <w:p w14:paraId="2EE76716" w14:textId="77777777" w:rsidR="00741104" w:rsidRPr="00741104" w:rsidRDefault="00741104" w:rsidP="00741104">
            <w:r w:rsidRPr="00741104">
              <w:t xml:space="preserve"> 62,2 </w:t>
            </w:r>
          </w:p>
        </w:tc>
        <w:tc>
          <w:tcPr>
            <w:tcW w:w="0" w:type="auto"/>
            <w:vAlign w:val="center"/>
          </w:tcPr>
          <w:p w14:paraId="7E6A8B22" w14:textId="77777777" w:rsidR="00741104" w:rsidRPr="00741104" w:rsidRDefault="00741104" w:rsidP="00741104">
            <w:r w:rsidRPr="00741104">
              <w:t xml:space="preserve"> 213 </w:t>
            </w:r>
          </w:p>
        </w:tc>
      </w:tr>
      <w:tr w:rsidR="00741104" w:rsidRPr="00741104" w14:paraId="366339CA" w14:textId="77777777" w:rsidTr="00C547F5">
        <w:trPr>
          <w:tblCellSpacing w:w="0" w:type="dxa"/>
        </w:trPr>
        <w:tc>
          <w:tcPr>
            <w:tcW w:w="0" w:type="auto"/>
            <w:vAlign w:val="center"/>
          </w:tcPr>
          <w:p w14:paraId="3F711592" w14:textId="77777777" w:rsidR="00741104" w:rsidRPr="00741104" w:rsidRDefault="00741104" w:rsidP="00741104">
            <w:r w:rsidRPr="00741104">
              <w:t xml:space="preserve"> Китай</w:t>
            </w:r>
          </w:p>
        </w:tc>
        <w:tc>
          <w:tcPr>
            <w:tcW w:w="0" w:type="auto"/>
            <w:vAlign w:val="center"/>
          </w:tcPr>
          <w:p w14:paraId="70556817" w14:textId="77777777" w:rsidR="00741104" w:rsidRPr="00741104" w:rsidRDefault="00741104" w:rsidP="00741104">
            <w:r w:rsidRPr="00741104">
              <w:t xml:space="preserve"> 11,9 </w:t>
            </w:r>
          </w:p>
        </w:tc>
        <w:tc>
          <w:tcPr>
            <w:tcW w:w="0" w:type="auto"/>
            <w:vAlign w:val="center"/>
          </w:tcPr>
          <w:p w14:paraId="17872355" w14:textId="77777777" w:rsidR="00741104" w:rsidRPr="00741104" w:rsidRDefault="00741104" w:rsidP="00741104">
            <w:r w:rsidRPr="00741104">
              <w:t xml:space="preserve"> 63 </w:t>
            </w:r>
          </w:p>
        </w:tc>
      </w:tr>
      <w:tr w:rsidR="00741104" w:rsidRPr="00741104" w14:paraId="6B8C01C3" w14:textId="77777777" w:rsidTr="00C547F5">
        <w:trPr>
          <w:tblCellSpacing w:w="0" w:type="dxa"/>
        </w:trPr>
        <w:tc>
          <w:tcPr>
            <w:tcW w:w="0" w:type="auto"/>
            <w:vAlign w:val="center"/>
          </w:tcPr>
          <w:p w14:paraId="17ACBFEB" w14:textId="77777777" w:rsidR="00741104" w:rsidRPr="00741104" w:rsidRDefault="00741104" w:rsidP="00741104">
            <w:r w:rsidRPr="00741104">
              <w:lastRenderedPageBreak/>
              <w:t xml:space="preserve"> Япония</w:t>
            </w:r>
          </w:p>
        </w:tc>
        <w:tc>
          <w:tcPr>
            <w:tcW w:w="0" w:type="auto"/>
            <w:vAlign w:val="center"/>
          </w:tcPr>
          <w:p w14:paraId="594B636D" w14:textId="77777777" w:rsidR="00741104" w:rsidRPr="00741104" w:rsidRDefault="00741104" w:rsidP="00741104">
            <w:r w:rsidRPr="00741104">
              <w:t xml:space="preserve"> 6,4 </w:t>
            </w:r>
          </w:p>
        </w:tc>
        <w:tc>
          <w:tcPr>
            <w:tcW w:w="0" w:type="auto"/>
            <w:vAlign w:val="center"/>
          </w:tcPr>
          <w:p w14:paraId="3C322A42" w14:textId="77777777" w:rsidR="00741104" w:rsidRPr="00741104" w:rsidRDefault="00741104" w:rsidP="00741104">
            <w:r w:rsidRPr="00741104">
              <w:t xml:space="preserve"> 157 </w:t>
            </w:r>
          </w:p>
        </w:tc>
      </w:tr>
      <w:tr w:rsidR="00741104" w:rsidRPr="00741104" w14:paraId="6885FECA" w14:textId="77777777" w:rsidTr="00C547F5">
        <w:trPr>
          <w:tblCellSpacing w:w="0" w:type="dxa"/>
        </w:trPr>
        <w:tc>
          <w:tcPr>
            <w:tcW w:w="0" w:type="auto"/>
            <w:vAlign w:val="center"/>
          </w:tcPr>
          <w:p w14:paraId="752C833B" w14:textId="77777777" w:rsidR="00741104" w:rsidRPr="00741104" w:rsidRDefault="00741104" w:rsidP="00741104">
            <w:r w:rsidRPr="00741104">
              <w:t xml:space="preserve"> Индия</w:t>
            </w:r>
          </w:p>
        </w:tc>
        <w:tc>
          <w:tcPr>
            <w:tcW w:w="0" w:type="auto"/>
            <w:vAlign w:val="center"/>
          </w:tcPr>
          <w:p w14:paraId="47B37621" w14:textId="77777777" w:rsidR="00741104" w:rsidRPr="00741104" w:rsidRDefault="00741104" w:rsidP="00741104">
            <w:r w:rsidRPr="00741104">
              <w:t xml:space="preserve"> 5,3 </w:t>
            </w:r>
          </w:p>
        </w:tc>
        <w:tc>
          <w:tcPr>
            <w:tcW w:w="0" w:type="auto"/>
            <w:vAlign w:val="center"/>
          </w:tcPr>
          <w:p w14:paraId="4AC7A807" w14:textId="77777777" w:rsidR="00741104" w:rsidRPr="00741104" w:rsidRDefault="00741104" w:rsidP="00741104">
            <w:r w:rsidRPr="00741104">
              <w:t xml:space="preserve"> 126 </w:t>
            </w:r>
          </w:p>
        </w:tc>
      </w:tr>
      <w:tr w:rsidR="00741104" w:rsidRPr="00741104" w14:paraId="316D9884" w14:textId="77777777" w:rsidTr="00C547F5">
        <w:trPr>
          <w:tblCellSpacing w:w="0" w:type="dxa"/>
        </w:trPr>
        <w:tc>
          <w:tcPr>
            <w:tcW w:w="0" w:type="auto"/>
            <w:vAlign w:val="center"/>
          </w:tcPr>
          <w:p w14:paraId="778C7AF3" w14:textId="77777777" w:rsidR="00741104" w:rsidRPr="00741104" w:rsidRDefault="00741104" w:rsidP="00741104">
            <w:r w:rsidRPr="00741104">
              <w:t xml:space="preserve"> Канада</w:t>
            </w:r>
          </w:p>
        </w:tc>
        <w:tc>
          <w:tcPr>
            <w:tcW w:w="0" w:type="auto"/>
            <w:vAlign w:val="center"/>
          </w:tcPr>
          <w:p w14:paraId="6355A7DF" w14:textId="77777777" w:rsidR="00741104" w:rsidRPr="00741104" w:rsidRDefault="00741104" w:rsidP="00741104">
            <w:r w:rsidRPr="00741104">
              <w:t xml:space="preserve"> 3,5 </w:t>
            </w:r>
          </w:p>
        </w:tc>
        <w:tc>
          <w:tcPr>
            <w:tcW w:w="0" w:type="auto"/>
            <w:vAlign w:val="center"/>
          </w:tcPr>
          <w:p w14:paraId="68160FEB" w14:textId="77777777" w:rsidR="00741104" w:rsidRPr="00741104" w:rsidRDefault="00741104" w:rsidP="00741104">
            <w:r w:rsidRPr="00741104">
              <w:t xml:space="preserve"> 151 </w:t>
            </w:r>
          </w:p>
        </w:tc>
      </w:tr>
      <w:tr w:rsidR="00741104" w:rsidRPr="00741104" w14:paraId="40F2F5DB" w14:textId="77777777" w:rsidTr="00C547F5">
        <w:trPr>
          <w:tblCellSpacing w:w="0" w:type="dxa"/>
        </w:trPr>
        <w:tc>
          <w:tcPr>
            <w:tcW w:w="0" w:type="auto"/>
            <w:vAlign w:val="center"/>
          </w:tcPr>
          <w:p w14:paraId="5480DA3E" w14:textId="77777777" w:rsidR="00741104" w:rsidRPr="00741104" w:rsidRDefault="00741104" w:rsidP="00741104">
            <w:r w:rsidRPr="00741104">
              <w:t xml:space="preserve"> Великобритания</w:t>
            </w:r>
          </w:p>
        </w:tc>
        <w:tc>
          <w:tcPr>
            <w:tcW w:w="0" w:type="auto"/>
            <w:vAlign w:val="center"/>
          </w:tcPr>
          <w:p w14:paraId="6E4151A4" w14:textId="77777777" w:rsidR="00741104" w:rsidRPr="00741104" w:rsidRDefault="00741104" w:rsidP="00741104">
            <w:r w:rsidRPr="00741104">
              <w:t xml:space="preserve"> 3,2 </w:t>
            </w:r>
          </w:p>
        </w:tc>
        <w:tc>
          <w:tcPr>
            <w:tcW w:w="0" w:type="auto"/>
            <w:vAlign w:val="center"/>
          </w:tcPr>
          <w:p w14:paraId="5AE5E79A" w14:textId="77777777" w:rsidR="00741104" w:rsidRPr="00741104" w:rsidRDefault="00741104" w:rsidP="00741104">
            <w:r w:rsidRPr="00741104">
              <w:t xml:space="preserve"> 84 </w:t>
            </w:r>
          </w:p>
        </w:tc>
      </w:tr>
      <w:tr w:rsidR="00741104" w:rsidRPr="00741104" w14:paraId="3D3694F7" w14:textId="77777777" w:rsidTr="00C547F5">
        <w:trPr>
          <w:tblCellSpacing w:w="0" w:type="dxa"/>
        </w:trPr>
        <w:tc>
          <w:tcPr>
            <w:tcW w:w="0" w:type="auto"/>
            <w:vAlign w:val="center"/>
          </w:tcPr>
          <w:p w14:paraId="43CEB683" w14:textId="77777777" w:rsidR="00741104" w:rsidRPr="00741104" w:rsidRDefault="00741104" w:rsidP="00741104">
            <w:r w:rsidRPr="00741104">
              <w:t xml:space="preserve"> Германия</w:t>
            </w:r>
          </w:p>
        </w:tc>
        <w:tc>
          <w:tcPr>
            <w:tcW w:w="0" w:type="auto"/>
            <w:vAlign w:val="center"/>
          </w:tcPr>
          <w:p w14:paraId="6C3CA544" w14:textId="77777777" w:rsidR="00741104" w:rsidRPr="00741104" w:rsidRDefault="00741104" w:rsidP="00741104">
            <w:r w:rsidRPr="00741104">
              <w:t xml:space="preserve"> 2,0 </w:t>
            </w:r>
          </w:p>
        </w:tc>
        <w:tc>
          <w:tcPr>
            <w:tcW w:w="0" w:type="auto"/>
            <w:vAlign w:val="center"/>
          </w:tcPr>
          <w:p w14:paraId="6D9D0E32" w14:textId="77777777" w:rsidR="00741104" w:rsidRPr="00741104" w:rsidRDefault="00741104" w:rsidP="00741104">
            <w:r w:rsidRPr="00741104">
              <w:t xml:space="preserve"> 44 </w:t>
            </w:r>
          </w:p>
        </w:tc>
      </w:tr>
      <w:tr w:rsidR="00741104" w:rsidRPr="00741104" w14:paraId="52AE0C56" w14:textId="77777777" w:rsidTr="00C547F5">
        <w:trPr>
          <w:tblCellSpacing w:w="0" w:type="dxa"/>
        </w:trPr>
        <w:tc>
          <w:tcPr>
            <w:tcW w:w="0" w:type="auto"/>
            <w:vAlign w:val="center"/>
          </w:tcPr>
          <w:p w14:paraId="71FDAADC" w14:textId="77777777" w:rsidR="00741104" w:rsidRPr="00741104" w:rsidRDefault="00741104" w:rsidP="00741104">
            <w:r w:rsidRPr="00741104">
              <w:t xml:space="preserve"> Южная Корея </w:t>
            </w:r>
          </w:p>
        </w:tc>
        <w:tc>
          <w:tcPr>
            <w:tcW w:w="0" w:type="auto"/>
            <w:vAlign w:val="center"/>
          </w:tcPr>
          <w:p w14:paraId="2B909FAD" w14:textId="77777777" w:rsidR="00741104" w:rsidRPr="00741104" w:rsidRDefault="00741104" w:rsidP="00741104">
            <w:r w:rsidRPr="00741104">
              <w:t xml:space="preserve"> 1,7 </w:t>
            </w:r>
          </w:p>
        </w:tc>
        <w:tc>
          <w:tcPr>
            <w:tcW w:w="0" w:type="auto"/>
            <w:vAlign w:val="center"/>
          </w:tcPr>
          <w:p w14:paraId="664A7D19" w14:textId="77777777" w:rsidR="00741104" w:rsidRPr="00741104" w:rsidRDefault="00741104" w:rsidP="00741104">
            <w:r w:rsidRPr="00741104">
              <w:t xml:space="preserve"> 90 </w:t>
            </w:r>
          </w:p>
        </w:tc>
      </w:tr>
      <w:tr w:rsidR="00741104" w:rsidRPr="00741104" w14:paraId="0FFEC4AA" w14:textId="77777777" w:rsidTr="00C547F5">
        <w:trPr>
          <w:tblCellSpacing w:w="0" w:type="dxa"/>
        </w:trPr>
        <w:tc>
          <w:tcPr>
            <w:tcW w:w="0" w:type="auto"/>
            <w:vAlign w:val="center"/>
          </w:tcPr>
          <w:p w14:paraId="7A1C1A6D" w14:textId="77777777" w:rsidR="00741104" w:rsidRPr="00741104" w:rsidRDefault="00741104" w:rsidP="00741104">
            <w:r w:rsidRPr="00741104">
              <w:t xml:space="preserve"> Бразилия</w:t>
            </w:r>
          </w:p>
        </w:tc>
        <w:tc>
          <w:tcPr>
            <w:tcW w:w="0" w:type="auto"/>
            <w:vAlign w:val="center"/>
          </w:tcPr>
          <w:p w14:paraId="232EC9FA" w14:textId="77777777" w:rsidR="00741104" w:rsidRPr="00741104" w:rsidRDefault="00741104" w:rsidP="00741104">
            <w:r w:rsidRPr="00741104">
              <w:t xml:space="preserve"> 0,7 </w:t>
            </w:r>
          </w:p>
        </w:tc>
        <w:tc>
          <w:tcPr>
            <w:tcW w:w="0" w:type="auto"/>
            <w:vAlign w:val="center"/>
          </w:tcPr>
          <w:p w14:paraId="55073165" w14:textId="77777777" w:rsidR="00741104" w:rsidRPr="00741104" w:rsidRDefault="00741104" w:rsidP="00741104">
            <w:r w:rsidRPr="00741104">
              <w:t xml:space="preserve"> 30 </w:t>
            </w:r>
          </w:p>
        </w:tc>
      </w:tr>
      <w:tr w:rsidR="00741104" w:rsidRPr="00741104" w14:paraId="3895DFBF" w14:textId="77777777" w:rsidTr="00C547F5">
        <w:trPr>
          <w:tblCellSpacing w:w="0" w:type="dxa"/>
        </w:trPr>
        <w:tc>
          <w:tcPr>
            <w:tcW w:w="0" w:type="auto"/>
            <w:vAlign w:val="center"/>
          </w:tcPr>
          <w:p w14:paraId="3BCB607C" w14:textId="77777777" w:rsidR="00741104" w:rsidRPr="00741104" w:rsidRDefault="00741104" w:rsidP="00741104">
            <w:r w:rsidRPr="00741104">
              <w:t xml:space="preserve"> РФ</w:t>
            </w:r>
          </w:p>
        </w:tc>
        <w:tc>
          <w:tcPr>
            <w:tcW w:w="0" w:type="auto"/>
            <w:vAlign w:val="center"/>
          </w:tcPr>
          <w:p w14:paraId="04414DC4" w14:textId="77777777" w:rsidR="00741104" w:rsidRPr="00741104" w:rsidRDefault="00741104" w:rsidP="00741104">
            <w:r w:rsidRPr="00741104">
              <w:t xml:space="preserve"> 0,7 </w:t>
            </w:r>
          </w:p>
        </w:tc>
        <w:tc>
          <w:tcPr>
            <w:tcW w:w="0" w:type="auto"/>
            <w:vAlign w:val="center"/>
          </w:tcPr>
          <w:p w14:paraId="58510E13" w14:textId="77777777" w:rsidR="00741104" w:rsidRPr="00741104" w:rsidRDefault="00741104" w:rsidP="00741104">
            <w:r w:rsidRPr="00741104">
              <w:t xml:space="preserve"> 24 </w:t>
            </w:r>
          </w:p>
        </w:tc>
      </w:tr>
    </w:tbl>
    <w:p w14:paraId="12D66C7D" w14:textId="77777777" w:rsidR="00741104" w:rsidRPr="00741104" w:rsidRDefault="00741104" w:rsidP="00741104">
      <w:r w:rsidRPr="00741104">
        <w:t>Источник: World Bank</w:t>
      </w:r>
    </w:p>
    <w:p w14:paraId="470CC58F" w14:textId="77777777" w:rsidR="00741104" w:rsidRPr="00741104" w:rsidRDefault="00741104" w:rsidP="00741104">
      <w:r w:rsidRPr="00741104">
        <w:t>Относительно низкий показатель капитализации российского фондового рынка к ВВП подчеркивает как специфику текущей зарытой модели, так и потенциал для роста.</w:t>
      </w:r>
    </w:p>
    <w:p w14:paraId="5003EA19" w14:textId="77777777" w:rsidR="00741104" w:rsidRPr="00741104" w:rsidRDefault="00741104" w:rsidP="00741104">
      <w:r w:rsidRPr="00741104">
        <w:t>Абсолютный лидер США - экономика, ориентированная на акционерное финансирование. Фундамент из пенсионных фондов служит топливом для американского фондового рынка. В 2025 году под управлением пенсионных фондов США находилось около 43 трлн долларов США, и большая часть этих денег напрямую зависит от котировок акций и облигаций.</w:t>
      </w:r>
    </w:p>
    <w:p w14:paraId="4138912E" w14:textId="77777777" w:rsidR="00741104" w:rsidRPr="00741104" w:rsidRDefault="00741104" w:rsidP="00741104">
      <w:r w:rsidRPr="00741104">
        <w:t>Несмотря на большую экономику, размер фондового рынка в Китае значительно уступает США, так как огромная часть экономики Китая - это государственный сектор и банковское кредитование, а не публичные размещения.</w:t>
      </w:r>
    </w:p>
    <w:p w14:paraId="32267238" w14:textId="77777777" w:rsidR="00741104" w:rsidRPr="00741104" w:rsidRDefault="00741104" w:rsidP="00741104">
      <w:r w:rsidRPr="00741104">
        <w:t>Индия и Южная Корея - это примеры стран, когда фондовый рынок становится лицом экономики, через превращение сбережений населения в инвестиции. В Индии создана уникальная культура систематических инвестиционных планов, сотни миллионов индийцев ежемесячно вкладывают небольшие суммы в ПИФы. Это создает постоянный поток ликвидности, который не зависит от иностранных фондов. В Южной Корее в последние годы приняты законы, защищающие права миноритарных акционеров. Кроме того, фондовый рынок Кореи - это выставка достижений в области полупроводников, аккумуляторов для электрокаров и судостроения. Инвесторы покупают не просто акции, а долю в глобальном технологическом прогрессе.</w:t>
      </w:r>
    </w:p>
    <w:p w14:paraId="07F8A663" w14:textId="77777777" w:rsidR="00741104" w:rsidRPr="00741104" w:rsidRDefault="00741104" w:rsidP="00741104">
      <w:r w:rsidRPr="00741104">
        <w:t>Бразилия, как и Россия сильно зависит от сырьевого экспорта. Однако бразильский рынок открыт для глобальных фондов, что поддерживает его капитализацию на чуть более высоком уровне.</w:t>
      </w:r>
    </w:p>
    <w:p w14:paraId="6913E7D9" w14:textId="77777777" w:rsidR="00741104" w:rsidRPr="00741104" w:rsidRDefault="00741104" w:rsidP="00741104">
      <w:r w:rsidRPr="00741104">
        <w:t>Способы достижения цели к 2030 году: институциональный сдвиг, приток ликвидности и новый бум IPO</w:t>
      </w:r>
    </w:p>
    <w:p w14:paraId="3BB25F67" w14:textId="77777777" w:rsidR="00741104" w:rsidRPr="00741104" w:rsidRDefault="00741104" w:rsidP="00741104">
      <w:r w:rsidRPr="00741104">
        <w:t>Институциональная трансформация для взрывного роста ликвидности</w:t>
      </w:r>
    </w:p>
    <w:p w14:paraId="4502B7A7" w14:textId="77777777" w:rsidR="00741104" w:rsidRPr="00741104" w:rsidRDefault="00741104" w:rsidP="00741104">
      <w:r w:rsidRPr="00741104">
        <w:t xml:space="preserve">Для достижения целевых показателей первоочередной задачей является институциональная трансформация фондового рынка как фундамента его дальнейшего роста. Развитие </w:t>
      </w:r>
      <w:r w:rsidRPr="00741104">
        <w:rPr>
          <w:b/>
        </w:rPr>
        <w:t>НПФ</w:t>
      </w:r>
      <w:r w:rsidRPr="00741104">
        <w:t xml:space="preserve"> и внедрение программ долгосрочных сбережений позволит кратно увеличить емкость рынка. На большом сформированном рынке финансово устойчивые и прозрачные компании смогут привлекать значительно большие объемы капитала, чем </w:t>
      </w:r>
      <w:r w:rsidRPr="00741104">
        <w:lastRenderedPageBreak/>
        <w:t>в условиях текущего доминирования розничных инвесторов. Капитализация уже торгуемых компаний будет определяться прежде всего внутренней эффективностью эмитентов - сильными финансовыми результатами, прозрачностью корпоративного управления и предсказуемой дивидендной политикой.</w:t>
      </w:r>
    </w:p>
    <w:p w14:paraId="144C5537" w14:textId="77777777" w:rsidR="00741104" w:rsidRPr="00741104" w:rsidRDefault="00741104" w:rsidP="00741104">
      <w:r w:rsidRPr="00741104">
        <w:t>Понятные правила игры</w:t>
      </w:r>
    </w:p>
    <w:p w14:paraId="4F6DE6C3" w14:textId="77777777" w:rsidR="00741104" w:rsidRPr="00741104" w:rsidRDefault="00741104" w:rsidP="00741104">
      <w:r w:rsidRPr="00741104">
        <w:t>Предсказуемая макроэкономическая и фискальная политика создает понятные правила игры, позволяя бизнесу планировать, а рынку адекватно оценивать активы. Четкие макроэкономические ориентиры стимулируют граждан перекладывать средства из краткосрочных депозитов в акции, формируя устойчивый инвестиционный спрос. Когда инвесторы понимают логику налоговых изменений и размер бюджетных расходов, исчезает туман неопределенности в отношении компаний и экономики страны. Это снижает требуемую доходность у инвесторов и повышает рыночную стоимость компаний.</w:t>
      </w:r>
    </w:p>
    <w:p w14:paraId="463AA121" w14:textId="77777777" w:rsidR="00741104" w:rsidRPr="00741104" w:rsidRDefault="00741104" w:rsidP="00741104">
      <w:r w:rsidRPr="00741104">
        <w:t>Развитие инфраструктуры как поддержание роста рынка акций</w:t>
      </w:r>
    </w:p>
    <w:p w14:paraId="5244441B" w14:textId="77777777" w:rsidR="00741104" w:rsidRPr="00741104" w:rsidRDefault="00741104" w:rsidP="00741104">
      <w:r w:rsidRPr="00741104">
        <w:t>В период 2026-2027 годов поддерживающим фактором развития российского фондового рынка будет внутренняя трансформация Московской и Санкт-Петербургской бирж. Биржевая инфраструктура перестает быть просто посредником, превращаясь в активного стимулятора роста рынка.</w:t>
      </w:r>
    </w:p>
    <w:p w14:paraId="1FF5A6D6" w14:textId="77777777" w:rsidR="00741104" w:rsidRPr="00741104" w:rsidRDefault="00741104" w:rsidP="00741104">
      <w:r w:rsidRPr="00741104">
        <w:t xml:space="preserve">Модернизация площадок напрямую влияет на два важнейших параметра: </w:t>
      </w:r>
    </w:p>
    <w:p w14:paraId="2E0E3037" w14:textId="77777777" w:rsidR="00741104" w:rsidRPr="00741104" w:rsidRDefault="00741104" w:rsidP="00741104">
      <w:pPr>
        <w:numPr>
          <w:ilvl w:val="0"/>
          <w:numId w:val="33"/>
        </w:numPr>
      </w:pPr>
      <w:r w:rsidRPr="00741104">
        <w:t xml:space="preserve">Поддержка новых размещений. Упрощение процедур листинга, развитие цифровых платформ для быстрого выхода на рынок (Pre-IPO и ЦФА) и налоговые преференции создают комфортный коридор для новых эмитентов. </w:t>
      </w:r>
    </w:p>
    <w:p w14:paraId="715C8AF7" w14:textId="77777777" w:rsidR="00741104" w:rsidRPr="00741104" w:rsidRDefault="00741104" w:rsidP="00741104">
      <w:pPr>
        <w:numPr>
          <w:ilvl w:val="0"/>
          <w:numId w:val="33"/>
        </w:numPr>
      </w:pPr>
      <w:r w:rsidRPr="00741104">
        <w:t xml:space="preserve">Рост стоимости уже торгуемых компаний. Расширение новых аналитических инструментов повышает прозрачность рынка. </w:t>
      </w:r>
    </w:p>
    <w:p w14:paraId="064C0F88" w14:textId="77777777" w:rsidR="00741104" w:rsidRPr="00741104" w:rsidRDefault="00741104" w:rsidP="00741104">
      <w:r w:rsidRPr="00741104">
        <w:t>Изменение модели сбережения населения</w:t>
      </w:r>
    </w:p>
    <w:p w14:paraId="2EFC9A2A" w14:textId="4C02AB36" w:rsidR="00741104" w:rsidRPr="00741104" w:rsidRDefault="00741104" w:rsidP="00741104">
      <w:r w:rsidRPr="00741104">
        <w:t xml:space="preserve">Для достижения </w:t>
      </w:r>
      <w:r w:rsidR="00401C97">
        <w:t>«</w:t>
      </w:r>
      <w:r w:rsidRPr="00741104">
        <w:t>цели-2030</w:t>
      </w:r>
      <w:r w:rsidR="00401C97">
        <w:t>»</w:t>
      </w:r>
      <w:r w:rsidRPr="00741104">
        <w:t xml:space="preserve"> государство запустило и развивает несколько механизмов коллективного инвестирования: </w:t>
      </w:r>
    </w:p>
    <w:p w14:paraId="2BB31B38" w14:textId="77777777" w:rsidR="00741104" w:rsidRPr="00741104" w:rsidRDefault="00741104" w:rsidP="00741104">
      <w:pPr>
        <w:numPr>
          <w:ilvl w:val="0"/>
          <w:numId w:val="34"/>
        </w:numPr>
      </w:pPr>
      <w:r w:rsidRPr="00741104">
        <w:rPr>
          <w:b/>
        </w:rPr>
        <w:t>Программа долгосрочных сбережений (ПДС</w:t>
      </w:r>
      <w:r w:rsidRPr="00741104">
        <w:t xml:space="preserve">). Запущена с 01.10.2024, программа является флагманским инструментом для формирования частных инвестиционных резервов. Граждане заключают договор с </w:t>
      </w:r>
      <w:r w:rsidRPr="00741104">
        <w:rPr>
          <w:b/>
        </w:rPr>
        <w:t>негосударственным пенсионным фондом (НПФ</w:t>
      </w:r>
      <w:r w:rsidRPr="00741104">
        <w:t xml:space="preserve">) и делают туда взносы. Эти средства </w:t>
      </w:r>
      <w:r w:rsidRPr="00741104">
        <w:rPr>
          <w:b/>
        </w:rPr>
        <w:t>НПФ</w:t>
      </w:r>
      <w:r w:rsidRPr="00741104">
        <w:t xml:space="preserve"> инвестирует, в т. ч. и в инструменты фондового рынка (акции и облигации). </w:t>
      </w:r>
    </w:p>
    <w:p w14:paraId="112804A5" w14:textId="77777777" w:rsidR="00741104" w:rsidRPr="00741104" w:rsidRDefault="00741104" w:rsidP="00741104">
      <w:pPr>
        <w:numPr>
          <w:ilvl w:val="0"/>
          <w:numId w:val="34"/>
        </w:numPr>
      </w:pPr>
      <w:r w:rsidRPr="00741104">
        <w:t xml:space="preserve">Индивидуальные инвестиционные счета 3-го типа (ИИС-3). Один из инструментов долгосрочного инвестирования, который был внедрен в 2024 году и пришел на смену старым типам А и Б. Его основная цель превратить частного инвестора в партнера экономики, предоставляя взамен налоговые льготы. На ИИС-3 можно зачислять любые суммы, в отличие от типа А и Б, но льгота по вычету 13 или 15% ограничена 400 тыс. рублей и суммируется с вычетом на </w:t>
      </w:r>
      <w:r w:rsidRPr="00741104">
        <w:rPr>
          <w:b/>
        </w:rPr>
        <w:t>ПДС</w:t>
      </w:r>
      <w:r w:rsidRPr="00741104">
        <w:t xml:space="preserve">. При закрытии счета (при выполнении условия минимального срока владения счетом) вся полученная прибыль от сделок с ценными бумагами будет освобождена от НДФЛ (лимит льготного дохода - 30 млн рублей). Есть возможность открыть ИИС одновременно у разных брокеров или управляющих компаний. </w:t>
      </w:r>
    </w:p>
    <w:p w14:paraId="4746E47D" w14:textId="77777777" w:rsidR="00741104" w:rsidRPr="00741104" w:rsidRDefault="00741104" w:rsidP="00741104">
      <w:pPr>
        <w:numPr>
          <w:ilvl w:val="0"/>
          <w:numId w:val="34"/>
        </w:numPr>
      </w:pPr>
      <w:r w:rsidRPr="00741104">
        <w:lastRenderedPageBreak/>
        <w:t xml:space="preserve">Развитие закрытых паев инвестиционных фондов (ЗПИФ). Позволяет привлечь капитал в крупные проекты. В отличие от ПИФов деньги заперты на определенный срок (обычно от трех до 15 лет). Фонд покупает долю в перспективном бизнесе, инвесторы покупают паи - ценные бумаги, подтверждающие право на долю в имуществе фонда. По истечении развития и подготовки актива к IPO на биржу выводят либо саму компанию, либо паи ЗПИФ. </w:t>
      </w:r>
    </w:p>
    <w:p w14:paraId="05B8723F" w14:textId="77777777" w:rsidR="00741104" w:rsidRPr="00741104" w:rsidRDefault="00741104" w:rsidP="00741104">
      <w:pPr>
        <w:numPr>
          <w:ilvl w:val="0"/>
          <w:numId w:val="34"/>
        </w:numPr>
      </w:pPr>
      <w:r w:rsidRPr="00741104">
        <w:t xml:space="preserve">Корпоративные </w:t>
      </w:r>
      <w:r w:rsidRPr="00741104">
        <w:rPr>
          <w:b/>
        </w:rPr>
        <w:t>пенсионные программы</w:t>
      </w:r>
      <w:r w:rsidRPr="00741104">
        <w:t xml:space="preserve">. Государство активно стимулирует бизнес внедрять софинансирование пенсий для сотрудников. Работодатель и сотрудник могут совместно делать взносы в </w:t>
      </w:r>
      <w:r w:rsidRPr="00741104">
        <w:rPr>
          <w:b/>
        </w:rPr>
        <w:t>НПФ</w:t>
      </w:r>
      <w:r w:rsidRPr="00741104">
        <w:t xml:space="preserve">. </w:t>
      </w:r>
    </w:p>
    <w:p w14:paraId="10037E68" w14:textId="77777777" w:rsidR="00741104" w:rsidRPr="00741104" w:rsidRDefault="00741104" w:rsidP="00741104">
      <w:r w:rsidRPr="00741104">
        <w:t>Массовый выход на IPO госкомпаний и частного бизнеса</w:t>
      </w:r>
    </w:p>
    <w:p w14:paraId="71151300" w14:textId="2EDD5D8E" w:rsidR="00741104" w:rsidRPr="00741104" w:rsidRDefault="00741104" w:rsidP="00741104">
      <w:r w:rsidRPr="00741104">
        <w:t xml:space="preserve">Приватизация государственных активов через публичное размещение на бирже способна насытить рынок качественными </w:t>
      </w:r>
      <w:r w:rsidR="00401C97">
        <w:t>«</w:t>
      </w:r>
      <w:r w:rsidRPr="00741104">
        <w:t>голубыми фишками</w:t>
      </w:r>
      <w:r w:rsidR="00401C97">
        <w:t>»</w:t>
      </w:r>
      <w:r w:rsidRPr="00741104">
        <w:t>. Выход крупных государственных компаний на IPO не только увеличивает капитализацию фондового рынка, но и превращает государственные доли в инвестиционный ресурс, также делая сами компании более эффективными. Минфин России прорабатывает список из компаний, которые могут быть в 2026-2027 годах приватизированы через биржевое размещение.</w:t>
      </w:r>
    </w:p>
    <w:p w14:paraId="5086E22E" w14:textId="77777777" w:rsidR="00741104" w:rsidRPr="00741104" w:rsidRDefault="00741104" w:rsidP="00741104">
      <w:r w:rsidRPr="00741104">
        <w:t xml:space="preserve">Для того чтобы частный бизнес активно выходил на биржу, государство разрабатывает и внедряет комплекс мер, направленный как на поддержку эмитентов, так и на стимулирование спроса на эти компании со стороны инвесторов. </w:t>
      </w:r>
    </w:p>
    <w:p w14:paraId="619FF03A" w14:textId="77777777" w:rsidR="00741104" w:rsidRPr="00741104" w:rsidRDefault="00741104" w:rsidP="00741104">
      <w:pPr>
        <w:numPr>
          <w:ilvl w:val="0"/>
          <w:numId w:val="35"/>
        </w:numPr>
      </w:pPr>
      <w:r w:rsidRPr="00741104">
        <w:t xml:space="preserve">Для малого и среднего бизнеса, а таже высокотехнологичных компаний действуют программы возмещения расходов на листинг. </w:t>
      </w:r>
    </w:p>
    <w:p w14:paraId="4FCFC207" w14:textId="77777777" w:rsidR="00741104" w:rsidRPr="00741104" w:rsidRDefault="00741104" w:rsidP="00741104">
      <w:pPr>
        <w:numPr>
          <w:ilvl w:val="0"/>
          <w:numId w:val="35"/>
        </w:numPr>
      </w:pPr>
      <w:r w:rsidRPr="00741104">
        <w:t xml:space="preserve">Рассматривается возможность предоставления преимуществ при госзакупках и получении госгарантий тем компаниям, у которых доля акций в свободном обращении составляет не менее 15%. </w:t>
      </w:r>
    </w:p>
    <w:p w14:paraId="70536207" w14:textId="77777777" w:rsidR="00741104" w:rsidRPr="00741104" w:rsidRDefault="00741104" w:rsidP="00741104">
      <w:pPr>
        <w:numPr>
          <w:ilvl w:val="0"/>
          <w:numId w:val="35"/>
        </w:numPr>
      </w:pPr>
      <w:r w:rsidRPr="00741104">
        <w:t xml:space="preserve">Согласно Стратегии развития финансового рынка до 2030 года рассматривается возможность для того, чтобы публичные компании получали льготный доступ к государственной собственности. </w:t>
      </w:r>
    </w:p>
    <w:p w14:paraId="49E49E6E" w14:textId="77777777" w:rsidR="00741104" w:rsidRPr="00741104" w:rsidRDefault="00741104" w:rsidP="00741104">
      <w:r w:rsidRPr="00741104">
        <w:t>Поддержка первичных размещений IT-компаний со стороны государства</w:t>
      </w:r>
    </w:p>
    <w:p w14:paraId="629EAD69" w14:textId="77777777" w:rsidR="00741104" w:rsidRPr="00741104" w:rsidRDefault="00741104" w:rsidP="00741104">
      <w:r w:rsidRPr="00741104">
        <w:t xml:space="preserve">Государство активно стимулирует выход IT-компаний на биржу через: </w:t>
      </w:r>
    </w:p>
    <w:p w14:paraId="7C6F91F9" w14:textId="77777777" w:rsidR="00741104" w:rsidRPr="00741104" w:rsidRDefault="00741104" w:rsidP="00741104">
      <w:pPr>
        <w:numPr>
          <w:ilvl w:val="0"/>
          <w:numId w:val="36"/>
        </w:numPr>
      </w:pPr>
      <w:r w:rsidRPr="00741104">
        <w:t xml:space="preserve">Прямую финансовую помощь: компенсация затрат на листинг, льготное кредитование на подготовку в рамках IPO. </w:t>
      </w:r>
    </w:p>
    <w:p w14:paraId="5F3FEED2" w14:textId="77777777" w:rsidR="00741104" w:rsidRPr="00741104" w:rsidRDefault="00741104" w:rsidP="00741104">
      <w:pPr>
        <w:numPr>
          <w:ilvl w:val="0"/>
          <w:numId w:val="36"/>
        </w:numPr>
      </w:pPr>
      <w:r w:rsidRPr="00741104">
        <w:t xml:space="preserve">Упрощение процедур: для IT-компаний действуют пониженные требования по капитализации и сроку существования бизнеса для включения в котировальный список. </w:t>
      </w:r>
    </w:p>
    <w:p w14:paraId="32B9E7C0" w14:textId="77777777" w:rsidR="00741104" w:rsidRPr="00741104" w:rsidRDefault="00741104" w:rsidP="00741104">
      <w:pPr>
        <w:numPr>
          <w:ilvl w:val="0"/>
          <w:numId w:val="36"/>
        </w:numPr>
      </w:pPr>
      <w:r w:rsidRPr="00741104">
        <w:t xml:space="preserve">Специальный режим для малых IT-компаний. Разрабатываются механизмы инвестиционных платформ, которые позволяют привлекать капитал без прохождения всех процедур полноценного листинга (пре-IPO-раунды с последующим упрощенным переходом на биржу). </w:t>
      </w:r>
    </w:p>
    <w:p w14:paraId="20FC7516" w14:textId="77777777" w:rsidR="00741104" w:rsidRPr="00741104" w:rsidRDefault="00741104" w:rsidP="00741104">
      <w:pPr>
        <w:numPr>
          <w:ilvl w:val="0"/>
          <w:numId w:val="36"/>
        </w:numPr>
      </w:pPr>
      <w:r w:rsidRPr="00741104">
        <w:t xml:space="preserve">Налоговые льготы для инвесторов. Ели инвестор владеет акциями российской IT-компании более года, он освобождается от уплаты налога при их продаже. Для обычных компаний этот срок составляет пять лет. </w:t>
      </w:r>
    </w:p>
    <w:p w14:paraId="102499A6" w14:textId="77777777" w:rsidR="00741104" w:rsidRPr="00741104" w:rsidRDefault="00741104" w:rsidP="00741104">
      <w:r w:rsidRPr="00741104">
        <w:lastRenderedPageBreak/>
        <w:t>Улучшение корпоративного управления и защита прав инвесторов</w:t>
      </w:r>
    </w:p>
    <w:p w14:paraId="672721CF" w14:textId="77777777" w:rsidR="00741104" w:rsidRPr="00741104" w:rsidRDefault="00741104" w:rsidP="00741104">
      <w:r w:rsidRPr="00741104">
        <w:t>В рамках поставленных Президентом РФ целей в 2025 году была инициирована Программа создания акционерной стоимости как одного из поддерживающих факторов роста капитализации фондового рынка.</w:t>
      </w:r>
    </w:p>
    <w:p w14:paraId="6348FE5B" w14:textId="77777777" w:rsidR="00741104" w:rsidRPr="00741104" w:rsidRDefault="00741104" w:rsidP="00741104">
      <w:r w:rsidRPr="00741104">
        <w:t xml:space="preserve">Программа разделена на два временных горизонта: </w:t>
      </w:r>
    </w:p>
    <w:p w14:paraId="0252C214" w14:textId="77777777" w:rsidR="00741104" w:rsidRPr="00741104" w:rsidRDefault="00741104" w:rsidP="00741104">
      <w:pPr>
        <w:numPr>
          <w:ilvl w:val="0"/>
          <w:numId w:val="37"/>
        </w:numPr>
      </w:pPr>
      <w:r w:rsidRPr="00741104">
        <w:t xml:space="preserve">краткосрочная цель: сохранение высоких стандартов корпоративной культуры и поддержка прозрачности компаний; </w:t>
      </w:r>
    </w:p>
    <w:p w14:paraId="3BEC24A6" w14:textId="77777777" w:rsidR="00741104" w:rsidRPr="00741104" w:rsidRDefault="00741104" w:rsidP="00741104">
      <w:pPr>
        <w:numPr>
          <w:ilvl w:val="0"/>
          <w:numId w:val="37"/>
        </w:numPr>
      </w:pPr>
      <w:r w:rsidRPr="00741104">
        <w:t xml:space="preserve">долгосрочная цель: повышение инвестиционной привлекательности и увеличение капитализации российских эмитентов. Программа позволит создать группу эталонных компаний, в которые безопасно и выгодно вкладывать деньги на долгий срок. </w:t>
      </w:r>
    </w:p>
    <w:p w14:paraId="6D46D4AA" w14:textId="77777777" w:rsidR="00741104" w:rsidRPr="00741104" w:rsidRDefault="00741104" w:rsidP="00741104">
      <w:r w:rsidRPr="00741104">
        <w:t>Банк России выступает главным инициатором, идеологом и регулятором Программы создания акционерной стоимости.</w:t>
      </w:r>
    </w:p>
    <w:p w14:paraId="51595EDD" w14:textId="77777777" w:rsidR="00741104" w:rsidRPr="00741104" w:rsidRDefault="00741104" w:rsidP="00741104">
      <w:r w:rsidRPr="00741104">
        <w:t>Новые стандарты IPO и правила листинга</w:t>
      </w:r>
    </w:p>
    <w:p w14:paraId="6C992DB5" w14:textId="524D52F9" w:rsidR="00741104" w:rsidRPr="00741104" w:rsidRDefault="00741104" w:rsidP="00741104">
      <w:r w:rsidRPr="00741104">
        <w:t xml:space="preserve">С конца 2025 года вступили коррективы со стороны ПАО </w:t>
      </w:r>
      <w:r w:rsidR="00401C97">
        <w:t>«</w:t>
      </w:r>
      <w:r w:rsidRPr="00741104">
        <w:t>Московская биржа</w:t>
      </w:r>
      <w:r w:rsidR="00401C97">
        <w:t>»</w:t>
      </w:r>
      <w:r w:rsidRPr="00741104">
        <w:t xml:space="preserve"> и Банка России, направленные на повышение качества размещений и прозрачности компаний: </w:t>
      </w:r>
    </w:p>
    <w:p w14:paraId="4B7B6866" w14:textId="2603FB01" w:rsidR="00741104" w:rsidRPr="00741104" w:rsidRDefault="00741104" w:rsidP="00741104">
      <w:pPr>
        <w:numPr>
          <w:ilvl w:val="0"/>
          <w:numId w:val="38"/>
        </w:numPr>
      </w:pPr>
      <w:r w:rsidRPr="00741104">
        <w:t xml:space="preserve">Гибкий free-float. С 01.10.2025 ПАО </w:t>
      </w:r>
      <w:r w:rsidR="00401C97">
        <w:t>«</w:t>
      </w:r>
      <w:r w:rsidRPr="00741104">
        <w:t>Московская биржа</w:t>
      </w:r>
      <w:r w:rsidR="00401C97">
        <w:t>»</w:t>
      </w:r>
      <w:r w:rsidRPr="00741104">
        <w:t xml:space="preserve"> снизила минимальный порог акций в свободном обращении до 1% для второго уровня листинга (при условии, что стоимость пакета обыкновенных акций не менее 2 млрд рублей). Это позволяет стартапам выходить на биржу, постепенно увеличивая долю акций на бирже. </w:t>
      </w:r>
    </w:p>
    <w:p w14:paraId="5860DD68" w14:textId="77777777" w:rsidR="00741104" w:rsidRPr="00741104" w:rsidRDefault="00741104" w:rsidP="00741104">
      <w:pPr>
        <w:numPr>
          <w:ilvl w:val="0"/>
          <w:numId w:val="38"/>
        </w:numPr>
      </w:pPr>
      <w:r w:rsidRPr="00741104">
        <w:t xml:space="preserve">Ограничения сроков размещения. С 2026 года продажа акций на бирже должна происходить в течение одного месяца с даты начала продажи (для попадания во второй котировальный список и выше). Это исключает затянутые процессы, которые вносили неопределенность для инвесторов. </w:t>
      </w:r>
    </w:p>
    <w:p w14:paraId="171ABC25" w14:textId="77777777" w:rsidR="00741104" w:rsidRPr="00741104" w:rsidRDefault="00741104" w:rsidP="00741104">
      <w:pPr>
        <w:numPr>
          <w:ilvl w:val="0"/>
          <w:numId w:val="38"/>
        </w:numPr>
      </w:pPr>
      <w:r w:rsidRPr="00741104">
        <w:t xml:space="preserve">Увеличены требования к медианному объему торгов в день. Для первого уровня листинга - 20 млн рублей в день, для второго - 3 млн рублей в день. </w:t>
      </w:r>
    </w:p>
    <w:p w14:paraId="77B0975A" w14:textId="77777777" w:rsidR="00741104" w:rsidRPr="00741104" w:rsidRDefault="00741104" w:rsidP="00741104">
      <w:pPr>
        <w:numPr>
          <w:ilvl w:val="0"/>
          <w:numId w:val="38"/>
        </w:numPr>
      </w:pPr>
      <w:r w:rsidRPr="00741104">
        <w:t xml:space="preserve">Для защиты миноритариев с 02.01.2026 вступили в силу правила ЦБ РФ, которые обязывают АО (акционерное общество) предоставлять акционерам ряд документов в течение семи рабочих дней с даты предъявления требования. </w:t>
      </w:r>
    </w:p>
    <w:p w14:paraId="4CAB5593" w14:textId="77777777" w:rsidR="00741104" w:rsidRPr="00741104" w:rsidRDefault="00741104" w:rsidP="00741104">
      <w:pPr>
        <w:numPr>
          <w:ilvl w:val="0"/>
          <w:numId w:val="38"/>
        </w:numPr>
      </w:pPr>
      <w:r w:rsidRPr="00741104">
        <w:t xml:space="preserve">Банк России планирует в 2026 году ввести реформу борьбы с инсайдом и манипулированием. Все инсайдеры, включая менеджмент, должны будут сообщать о сделках с инструментами, в отношении которых у них есть инсайдерская информация. </w:t>
      </w:r>
    </w:p>
    <w:p w14:paraId="63FEC83C" w14:textId="77777777" w:rsidR="00741104" w:rsidRPr="00741104" w:rsidRDefault="00741104" w:rsidP="00741104">
      <w:r w:rsidRPr="00741104">
        <w:t>Ожидания на 2026-2027 годы: снижение ключевой ставки как один из основных триггеров к новым размещениям</w:t>
      </w:r>
    </w:p>
    <w:p w14:paraId="40548BD9" w14:textId="77777777" w:rsidR="00741104" w:rsidRPr="00741104" w:rsidRDefault="00741104" w:rsidP="00741104">
      <w:r w:rsidRPr="00741104">
        <w:t xml:space="preserve">Рынок IPO в 2026-2027 годах обещает стать периодом восстановления после затяжной паузы, вызванной в т. ч. высокой стоимостью заимствований. Ключевым драйвером размещения будет смягчение денежно-кредитной политики. По прогнозам ЦБ РФ, среднегодовая ключевая ставка в 2026-м будет фиксироваться на уровне 13-13,5% - это все еще дорого, но тенденция на снижение станет сигналом для компаний начать </w:t>
      </w:r>
      <w:r w:rsidRPr="00741104">
        <w:lastRenderedPageBreak/>
        <w:t>подготовку к IPO. Наибольший интерес инвесторов будет сосредоточен в секторах, демонстрирующих устойчивость или значительный рост, таких как: IT- и AI-технологии, Retail и E-commerce, финтех.</w:t>
      </w:r>
    </w:p>
    <w:p w14:paraId="0685ECCF" w14:textId="77777777" w:rsidR="00741104" w:rsidRPr="00741104" w:rsidRDefault="00741104" w:rsidP="00741104">
      <w:r w:rsidRPr="00741104">
        <w:t xml:space="preserve">В конце 2025 - начале 2026 годов Gрезидент РФ утвердил ряд поручений для Правительства, с целью поддержки первичных размещений в 2026-2027 годах. </w:t>
      </w:r>
    </w:p>
    <w:p w14:paraId="5ADA8708" w14:textId="77777777" w:rsidR="00741104" w:rsidRPr="00741104" w:rsidRDefault="00741104" w:rsidP="00741104">
      <w:pPr>
        <w:numPr>
          <w:ilvl w:val="0"/>
          <w:numId w:val="39"/>
        </w:numPr>
      </w:pPr>
      <w:r w:rsidRPr="00741104">
        <w:t xml:space="preserve">Отраслевые планы IPO. Правительству совместно с ЦБ следует утвердить графики выхода на биржу частных компаний по основным отраслям, включая меры их поддержки. </w:t>
      </w:r>
    </w:p>
    <w:p w14:paraId="0C7B22D7" w14:textId="77777777" w:rsidR="00741104" w:rsidRPr="00741104" w:rsidRDefault="00741104" w:rsidP="00741104">
      <w:pPr>
        <w:numPr>
          <w:ilvl w:val="0"/>
          <w:numId w:val="39"/>
        </w:numPr>
      </w:pPr>
      <w:r w:rsidRPr="00741104">
        <w:t xml:space="preserve">Приватизация через рынок. Поручено сформировать конкретный перечень компаний с государственным участием для продажи их долей на фондовым рынке в течение 2026 года. </w:t>
      </w:r>
    </w:p>
    <w:p w14:paraId="6AF438EB" w14:textId="77777777" w:rsidR="00741104" w:rsidRPr="00741104" w:rsidRDefault="00741104" w:rsidP="00741104">
      <w:r w:rsidRPr="00741104">
        <w:t>Смягчение денежно-кредитной политики Банка России в сочетании с мерами поддержки государства для выхода компаний на биржу позволит рынку в 2026-м аккумулировать объем ликвидности, превышающий показатели 2023-2024 годов, и объем привлечений может составить около 50-100 млрд рублей, а само количество размещений - до 20 штук. В 2027 году показатели рынка IPO продолжат рост при сохранении благоприятной конъюнктуры.</w:t>
      </w:r>
    </w:p>
    <w:p w14:paraId="36386CA8" w14:textId="77777777" w:rsidR="00741104" w:rsidRPr="00741104" w:rsidRDefault="00741104" w:rsidP="00741104">
      <w:r w:rsidRPr="00741104">
        <w:t>Текущие вызовы для российского фондового рынка: макроэкономическое и внешнее давление</w:t>
      </w:r>
    </w:p>
    <w:p w14:paraId="2DAD486B" w14:textId="77777777" w:rsidR="00741104" w:rsidRPr="00741104" w:rsidRDefault="00741104" w:rsidP="00741104">
      <w:r w:rsidRPr="00741104">
        <w:t xml:space="preserve">Несмотря на четкие драйверы роста, путь к цели по капитализации к 2030 году нелинеен: фондовый рынок - это живая система в условиях неопределенности. Фундаментальные вызовы и сдерживающие факторы могут замедлить рост или потребовать пересмотра сроков достижения целей: </w:t>
      </w:r>
    </w:p>
    <w:p w14:paraId="6BBFED1C" w14:textId="77777777" w:rsidR="00741104" w:rsidRPr="00741104" w:rsidRDefault="00741104" w:rsidP="00741104">
      <w:pPr>
        <w:numPr>
          <w:ilvl w:val="0"/>
          <w:numId w:val="40"/>
        </w:numPr>
      </w:pPr>
      <w:r w:rsidRPr="00741104">
        <w:t xml:space="preserve">Если инфляция не замедлится до целевых 4-5% к концу 2026 года, ЦБ РФ может держать ключевую ставку в районе 14-15% дольше ожидаемого. Это сделает банковские депозиты более привлекательными, чем акции, и высушит ликвидность на рынке IPO. </w:t>
      </w:r>
    </w:p>
    <w:p w14:paraId="3CF84CE0" w14:textId="77777777" w:rsidR="00741104" w:rsidRPr="00741104" w:rsidRDefault="00741104" w:rsidP="00741104">
      <w:pPr>
        <w:numPr>
          <w:ilvl w:val="0"/>
          <w:numId w:val="40"/>
        </w:numPr>
      </w:pPr>
      <w:r w:rsidRPr="00741104">
        <w:t xml:space="preserve">Высокая стоимость кредитов в 2025 году может привести к замедлению темпов роста ВВП в 2026-м. Для компаний это означает уменьшение прибыли, что станет причиной более низких оценок при выходе на биржу, и они будут откладывать IPO. </w:t>
      </w:r>
    </w:p>
    <w:p w14:paraId="1CA9F10A" w14:textId="77777777" w:rsidR="00741104" w:rsidRPr="00741104" w:rsidRDefault="00741104" w:rsidP="00741104">
      <w:pPr>
        <w:numPr>
          <w:ilvl w:val="0"/>
          <w:numId w:val="40"/>
        </w:numPr>
      </w:pPr>
      <w:r w:rsidRPr="00741104">
        <w:t xml:space="preserve">Отсутствие притока внешней ликвидности - сейчас российский фондовый рынок в значительной степени опирается на внутренний спрос. </w:t>
      </w:r>
    </w:p>
    <w:p w14:paraId="3E90C0EF" w14:textId="1EAE1F5C" w:rsidR="00741104" w:rsidRPr="00741104" w:rsidRDefault="00741104" w:rsidP="00741104">
      <w:pPr>
        <w:numPr>
          <w:ilvl w:val="0"/>
          <w:numId w:val="40"/>
        </w:numPr>
      </w:pPr>
      <w:r w:rsidRPr="00741104">
        <w:t xml:space="preserve">Для IT-сектора сохраняется риск дефицита </w:t>
      </w:r>
      <w:r w:rsidR="00401C97">
        <w:t>«</w:t>
      </w:r>
      <w:r w:rsidRPr="00741104">
        <w:t>железа</w:t>
      </w:r>
      <w:r w:rsidR="00401C97">
        <w:t>»</w:t>
      </w:r>
      <w:r w:rsidRPr="00741104">
        <w:t xml:space="preserve"> (процессоры, чипы памяти, высокопроизводительные системы хранения данных) и роста издержек на параллельный импорт, что может замедлить масштабирование бизнеса, обещанное в инвестиционных меморандумах. </w:t>
      </w:r>
    </w:p>
    <w:p w14:paraId="5246626C" w14:textId="77777777" w:rsidR="00741104" w:rsidRPr="00741104" w:rsidRDefault="00741104" w:rsidP="00741104">
      <w:pPr>
        <w:numPr>
          <w:ilvl w:val="0"/>
          <w:numId w:val="40"/>
        </w:numPr>
      </w:pPr>
      <w:r w:rsidRPr="00741104">
        <w:t xml:space="preserve">Внешние шоки, такие как замедление мировой экономики, могут привести к падению цен на сырье (нефть, газ, металлы и пр.), что ударит по тяжеловесам индекса Московской биржи. </w:t>
      </w:r>
    </w:p>
    <w:p w14:paraId="713A9BA7" w14:textId="77777777" w:rsidR="00741104" w:rsidRPr="00741104" w:rsidRDefault="00741104" w:rsidP="00741104">
      <w:r w:rsidRPr="00741104">
        <w:t>Новые навигационные инструменты: звездные рейтинги в эпоху ограниченного раскрытия информации</w:t>
      </w:r>
    </w:p>
    <w:p w14:paraId="70724E60" w14:textId="77777777" w:rsidR="00741104" w:rsidRPr="00741104" w:rsidRDefault="00741104" w:rsidP="00741104">
      <w:r w:rsidRPr="00741104">
        <w:lastRenderedPageBreak/>
        <w:t>В 2022 году на фоне санкционного давления правительство и Банк России приняли ряд постановлений и рекомендаций о возможности эмитентам акций не раскрывать полностью или частично информацию, которая может нести санкционные риски для компании или ее руководства (состав акционеров, информацию о дочерних компаниях, связи с банками, контрагентов дебиторской и кредиторской задолженностей). Это решение создало ситуацию инвестиционного полета в тумане. Частные инвесторы лишились возможности проводить качественный фундаментальный анализ.</w:t>
      </w:r>
    </w:p>
    <w:p w14:paraId="6C35AAB0" w14:textId="77777777" w:rsidR="00741104" w:rsidRPr="00741104" w:rsidRDefault="00741104" w:rsidP="00741104">
      <w:r w:rsidRPr="00741104">
        <w:t>В 2025 году Правительство РФ и ЦБ РФ продлили право на ограничение раскрытия информации. Однако режим секретности стал более адресным. Для ряда системообразующих компаний и банков действуют специальные указы Президента, позволяющие не раскрывать информацию.</w:t>
      </w:r>
    </w:p>
    <w:p w14:paraId="61E21ED7" w14:textId="77777777" w:rsidR="00741104" w:rsidRPr="00741104" w:rsidRDefault="00741104" w:rsidP="00741104">
      <w:r w:rsidRPr="00741104">
        <w:t>В конце 2025 года по инициативе Банка России в рамках повышения прозрачности эмитентов рынка акций запущен пилотный проект звездных рейтингов акций публичных компаний. Это российский аналог знаменитой западной системы Morning Star. ЦБ РФ предложил рейтинговым агентствам быть проводниками между закрытыми компаниями и частными инвесторами. Поскольку рейтинговые агентства - это независимые институты, которые не являются участниками торгов, у них нет торговых десков и сделок на бирже. Они выступают как независимые судьи, оценивающие финансовое здоровье и потенциал компании.</w:t>
      </w:r>
    </w:p>
    <w:p w14:paraId="3AC61684" w14:textId="77777777" w:rsidR="00741104" w:rsidRPr="00741104" w:rsidRDefault="00741104" w:rsidP="00741104">
      <w:r w:rsidRPr="00741104">
        <w:t>Рейтинговые агентства уполномочены присваивать эмитентам акций от одной до пяти звезд, где три звезды означают, что цена акции соответствует ее справедливой стоимости; пять звезд - акция сильно недооценена рынком, потенциал роста составляет выше 40%; одна звезда - акция сильно переоценена, присутствует высокий потенциал снижения (от 30% и более).</w:t>
      </w:r>
    </w:p>
    <w:p w14:paraId="5C5A9BD2" w14:textId="77777777" w:rsidR="00741104" w:rsidRPr="00741104" w:rsidRDefault="00741104" w:rsidP="00741104">
      <w:r w:rsidRPr="00741104">
        <w:t>Методология оценки звездного рейтинга</w:t>
      </w:r>
    </w:p>
    <w:p w14:paraId="1B18A746" w14:textId="77777777" w:rsidR="00741104" w:rsidRPr="00741104" w:rsidRDefault="00741104" w:rsidP="00741104">
      <w:r w:rsidRPr="00741104">
        <w:t>Некредитные рейтинги акций основаны на объемной информации, недоступной широкому рынку. В отличие от частного инвестора или даже инвестиционного аналитика фонда, которые работают только с публичной информацией, кредитные агентства имеют дело с эмитентами напрямую. Компании предоставляют агентствам доступ к детальным управленческим данным, прогнозам движения денежных средств, структуре долга и другим финансовым сведениям, которые не публикуются.</w:t>
      </w:r>
    </w:p>
    <w:p w14:paraId="1BD5F60F" w14:textId="77777777" w:rsidR="00741104" w:rsidRPr="00741104" w:rsidRDefault="00741104" w:rsidP="00741104">
      <w:r w:rsidRPr="00741104">
        <w:t xml:space="preserve">В отличие от кредитных рейтингов (которые оценивают кредитоспособность заемщика) звездные рейтинги оценивают инвестиционную привлекательность на основе двух факторов: </w:t>
      </w:r>
    </w:p>
    <w:p w14:paraId="7A4D57D1" w14:textId="77777777" w:rsidR="00741104" w:rsidRPr="00741104" w:rsidRDefault="00741104" w:rsidP="00741104">
      <w:pPr>
        <w:numPr>
          <w:ilvl w:val="0"/>
          <w:numId w:val="41"/>
        </w:numPr>
      </w:pPr>
      <w:r w:rsidRPr="00741104">
        <w:t xml:space="preserve">Финансовые показатели компании в течение пяти-десяти лет (рост выручки компании, показатели рентабельности, уровень капитальных затрат, инвестиционные проекты), а также за горизонтом этого периода. </w:t>
      </w:r>
    </w:p>
    <w:p w14:paraId="042ED9E0" w14:textId="77777777" w:rsidR="00741104" w:rsidRPr="00741104" w:rsidRDefault="00741104" w:rsidP="00741104">
      <w:pPr>
        <w:numPr>
          <w:ilvl w:val="0"/>
          <w:numId w:val="41"/>
        </w:numPr>
      </w:pPr>
      <w:r w:rsidRPr="00741104">
        <w:t xml:space="preserve">Качественные факторы. Учитываются корпоративное управление, уровень раскрытия информации, защита прав миноритариев. </w:t>
      </w:r>
    </w:p>
    <w:p w14:paraId="14691E0D" w14:textId="77777777" w:rsidR="00741104" w:rsidRPr="00741104" w:rsidRDefault="00741104" w:rsidP="00741104">
      <w:r w:rsidRPr="00741104">
        <w:t xml:space="preserve">Агентство разработало Методологию некредитных рейтингов акций, выделив три модели оценки в зависимости от специфики бизнеса. </w:t>
      </w:r>
    </w:p>
    <w:p w14:paraId="1FB28AA1" w14:textId="77777777" w:rsidR="00741104" w:rsidRPr="00741104" w:rsidRDefault="00741104" w:rsidP="00741104">
      <w:pPr>
        <w:numPr>
          <w:ilvl w:val="0"/>
          <w:numId w:val="42"/>
        </w:numPr>
      </w:pPr>
      <w:r w:rsidRPr="00741104">
        <w:lastRenderedPageBreak/>
        <w:t xml:space="preserve">Финансовые компании. Оценка строится на прогнозе денежного потока для акционеров (FCFE), так как долг является неотъемлемой частью их операционной деятельности. </w:t>
      </w:r>
    </w:p>
    <w:p w14:paraId="1F7CF4EB" w14:textId="77777777" w:rsidR="00741104" w:rsidRPr="00741104" w:rsidRDefault="00741104" w:rsidP="00741104">
      <w:pPr>
        <w:numPr>
          <w:ilvl w:val="0"/>
          <w:numId w:val="42"/>
        </w:numPr>
      </w:pPr>
      <w:r w:rsidRPr="00741104">
        <w:t xml:space="preserve">Нефинансовые компании. В основе лежит денежный поток на инвестированный капитал (FCFF) с корректировкой на стоимость не операционных активов или обязательств. </w:t>
      </w:r>
    </w:p>
    <w:p w14:paraId="17CC9837" w14:textId="77777777" w:rsidR="00741104" w:rsidRPr="00741104" w:rsidRDefault="00741104" w:rsidP="00741104">
      <w:pPr>
        <w:numPr>
          <w:ilvl w:val="0"/>
          <w:numId w:val="42"/>
        </w:numPr>
      </w:pPr>
      <w:r w:rsidRPr="00741104">
        <w:t xml:space="preserve">Инвестиционные холдинги. Сумма оценок бизнесов, входящих в холдинг, стоимость каждого актива определяется через дисконтирование денежных потоков и иными методами. </w:t>
      </w:r>
    </w:p>
    <w:p w14:paraId="1EF83C57" w14:textId="77777777" w:rsidR="00741104" w:rsidRPr="00741104" w:rsidRDefault="00741104" w:rsidP="00741104">
      <w:r w:rsidRPr="00741104">
        <w:t>Стоимость собственного капитала определяется, исходя из трех сценариев модели дисконтированных денежных потоков (базовый, пессимистичный и оптимистичный) и качественной оценки корпоративного управления и защиты инвесторов.</w:t>
      </w:r>
    </w:p>
    <w:p w14:paraId="342F9E96" w14:textId="77777777" w:rsidR="00741104" w:rsidRPr="00741104" w:rsidRDefault="00741104" w:rsidP="00741104">
      <w:r w:rsidRPr="00741104">
        <w:t>Оценка корпоративного управления и информационной прозрачности охватывает широкий спектр факторов от присутствия и роли независимых директоров в совете директоров и заботы о миноритарных акционерах до количества позитивных упоминаний в СМИ.</w:t>
      </w:r>
    </w:p>
    <w:p w14:paraId="21E3B730" w14:textId="77777777" w:rsidR="00741104" w:rsidRPr="00741104" w:rsidRDefault="00741104" w:rsidP="00741104">
      <w:r w:rsidRPr="00741104">
        <w:t>Интервью</w:t>
      </w:r>
    </w:p>
    <w:p w14:paraId="37F765FC" w14:textId="02219EF3" w:rsidR="00741104" w:rsidRPr="00741104" w:rsidRDefault="00401C97" w:rsidP="00741104">
      <w:r>
        <w:t>«</w:t>
      </w:r>
      <w:r w:rsidR="00741104" w:rsidRPr="00741104">
        <w:t>Консолидация неизбежна. Рынок переходит к тем, кто превращает технологии в конкурентное преимущество</w:t>
      </w:r>
      <w:r>
        <w:t>»</w:t>
      </w:r>
    </w:p>
    <w:p w14:paraId="29103B35" w14:textId="1AED331D" w:rsidR="00741104" w:rsidRPr="00741104" w:rsidRDefault="00401C97" w:rsidP="00741104">
      <w:r>
        <w:t>«</w:t>
      </w:r>
      <w:r w:rsidR="00741104" w:rsidRPr="00741104">
        <w:t>ЦФА закладывают технологическую и правовую основу для публичных размещений</w:t>
      </w:r>
      <w:r>
        <w:t>»</w:t>
      </w:r>
    </w:p>
    <w:p w14:paraId="6EBC1EBE" w14:textId="77777777" w:rsidR="00741104" w:rsidRPr="00741104" w:rsidRDefault="00741104" w:rsidP="00741104">
      <w:r w:rsidRPr="00741104">
        <w:t>Наши результаты за 2025 год будут опубликованы 25 февраля. Мы надеемся порадовать наших инвесторов.</w:t>
      </w:r>
    </w:p>
    <w:p w14:paraId="41F44B98" w14:textId="77777777" w:rsidR="00741104" w:rsidRPr="00741104" w:rsidRDefault="00741104" w:rsidP="00741104">
      <w:r w:rsidRPr="00741104">
        <w:t>Доверие инвесторов и партнеров строится на двух вещах - фундаментально устойчивой бизнес-модели и зрелой управленческой архитектуре. Именно такую основу мы последовательно выстраиваем в IEK</w:t>
      </w:r>
    </w:p>
    <w:p w14:paraId="5404E7B3" w14:textId="77777777" w:rsidR="00741104" w:rsidRPr="008A72AD" w:rsidRDefault="00741104" w:rsidP="00741104">
      <w:hyperlink r:id="rId43" w:history="1">
        <w:r w:rsidRPr="00741104">
          <w:rPr>
            <w:rStyle w:val="a3"/>
          </w:rPr>
          <w:t>https://raexpert.ru/researches/ua/new_ipo_boom_2026/</w:t>
        </w:r>
      </w:hyperlink>
    </w:p>
    <w:p w14:paraId="3AFDF27A" w14:textId="2B4006DC" w:rsidR="00C12D6C" w:rsidRPr="00C20D7A" w:rsidRDefault="00C12D6C" w:rsidP="00C12D6C">
      <w:pPr>
        <w:pStyle w:val="2"/>
      </w:pPr>
      <w:bookmarkStart w:id="139" w:name="_Toc222380397"/>
      <w:r w:rsidRPr="00C12D6C">
        <w:t>Монокль, 18.02.2026</w:t>
      </w:r>
      <w:r w:rsidRPr="00C20D7A">
        <w:t xml:space="preserve">, </w:t>
      </w:r>
      <w:r w:rsidRPr="00C12D6C">
        <w:t xml:space="preserve">Прогноз «Монокля» по росту числа </w:t>
      </w:r>
      <w:r w:rsidRPr="00C12D6C">
        <w:rPr>
          <w:lang w:val="en-US"/>
        </w:rPr>
        <w:t>IPO</w:t>
      </w:r>
      <w:r w:rsidRPr="00C12D6C">
        <w:t xml:space="preserve"> становится все вероятнее</w:t>
      </w:r>
      <w:bookmarkEnd w:id="139"/>
    </w:p>
    <w:p w14:paraId="05413F84" w14:textId="500D2F41" w:rsidR="00C12D6C" w:rsidRPr="00C12D6C" w:rsidRDefault="00C12D6C" w:rsidP="00C12D6C">
      <w:pPr>
        <w:pStyle w:val="3"/>
      </w:pPr>
      <w:bookmarkStart w:id="140" w:name="_Toc222380398"/>
      <w:r w:rsidRPr="00C12D6C">
        <w:t>Аналитические центры повторяют и подтверждают прогнозные ориентиры, а активность государства не только обеспечивает рост числа первичных размещений, но и планирует его, что прежде казалось невозможным. Впрочем, меры по развитию фондового рынка видятся недостаточными самому государству и 1 марта президенту должно быть доложено о новых идеях.</w:t>
      </w:r>
      <w:bookmarkEnd w:id="140"/>
    </w:p>
    <w:p w14:paraId="18297516" w14:textId="697D415B" w:rsidR="00C12D6C" w:rsidRPr="00C12D6C" w:rsidRDefault="00C12D6C" w:rsidP="00C12D6C">
      <w:r w:rsidRPr="00C12D6C">
        <w:t xml:space="preserve">Весьма интересен вопрос о формировании отраслевых планов первичных размещений частных компаний, и прежде всего об их наполнении конкретными эмитентами. С осторожностью можно, вероятно, ожидать точечной господдержки при недоборе претендентов на </w:t>
      </w:r>
      <w:r w:rsidRPr="00C12D6C">
        <w:rPr>
          <w:lang w:val="en-US"/>
        </w:rPr>
        <w:t>IPO</w:t>
      </w:r>
      <w:r w:rsidRPr="00C12D6C">
        <w:t xml:space="preserve"> в той или иной отрасли. Впрочем, мечтать, как известно, невредно, но 20 эмитентов в 2026 году это уже не мечты, а, как видим, обрастающий новыми факторами сбываемости наш прогноз.  </w:t>
      </w:r>
    </w:p>
    <w:p w14:paraId="097D9214" w14:textId="77777777" w:rsidR="00C12D6C" w:rsidRPr="00C12D6C" w:rsidRDefault="00C12D6C" w:rsidP="00C12D6C">
      <w:r w:rsidRPr="00C12D6C">
        <w:lastRenderedPageBreak/>
        <w:t>Прогнозы из одного корня</w:t>
      </w:r>
    </w:p>
    <w:p w14:paraId="3159CEE0" w14:textId="77777777" w:rsidR="00C12D6C" w:rsidRPr="00C12D6C" w:rsidRDefault="00C12D6C" w:rsidP="00C12D6C">
      <w:r w:rsidRPr="00C12D6C">
        <w:t>Российские фондовый рынок и корпоративный сектор, как сообщено в свежем обзоре известного рейтингового агентства "Эксперт РА", ждет в 2026 восстановление, после сильного спада, числа первичных размещений акций (</w:t>
      </w:r>
      <w:r w:rsidRPr="00C12D6C">
        <w:rPr>
          <w:lang w:val="en-US"/>
        </w:rPr>
        <w:t>IPO</w:t>
      </w:r>
      <w:r w:rsidRPr="00C12D6C">
        <w:t xml:space="preserve">). Гид по завтрашним </w:t>
      </w:r>
      <w:r w:rsidRPr="00C12D6C">
        <w:rPr>
          <w:lang w:val="en-US"/>
        </w:rPr>
        <w:t>IPO</w:t>
      </w:r>
    </w:p>
    <w:p w14:paraId="5D623766" w14:textId="77777777" w:rsidR="00C12D6C" w:rsidRPr="00C12D6C" w:rsidRDefault="00C12D6C" w:rsidP="00C12D6C">
      <w:r w:rsidRPr="00C12D6C">
        <w:t xml:space="preserve">Там ожидают, что разместить свои акции на бирже вознамерятся до 20 российских компаний, что в 5 раз больше, чем годом ранее. А суммарный объем привлеченных средств может составить от 50 до 100 млрд рублей, что превысило бы прошлогодний показатель в 1,4-2,7 раза. В 2025 году в России состоялись всего лишь 4 </w:t>
      </w:r>
      <w:r w:rsidRPr="00C12D6C">
        <w:rPr>
          <w:lang w:val="en-US"/>
        </w:rPr>
        <w:t>IPO</w:t>
      </w:r>
      <w:r w:rsidRPr="00C12D6C">
        <w:t>, которые принесли эмитентам 37 млрд рублей.</w:t>
      </w:r>
    </w:p>
    <w:p w14:paraId="1BF41D99" w14:textId="77777777" w:rsidR="00C12D6C" w:rsidRPr="00C12D6C" w:rsidRDefault="00C12D6C" w:rsidP="00C12D6C">
      <w:r w:rsidRPr="00C12D6C">
        <w:t xml:space="preserve">"Восстановление рынка первичных размещений ожидается в 2026 году благодаря смягчению регулятором денежно-кредитной политики, которое может стать триггером для переоценки активов и запуска новых размещений на фоне притока ликвидности на фондовый рынок", - говорится в опубликованном на сайте агентства обзоре "Ключи от капитализации: ставка, спрос и </w:t>
      </w:r>
      <w:r w:rsidRPr="00C12D6C">
        <w:rPr>
          <w:lang w:val="en-US"/>
        </w:rPr>
        <w:t>IPO</w:t>
      </w:r>
      <w:r w:rsidRPr="00C12D6C">
        <w:t>".</w:t>
      </w:r>
    </w:p>
    <w:p w14:paraId="7F202C61" w14:textId="77777777" w:rsidR="00C12D6C" w:rsidRPr="00C12D6C" w:rsidRDefault="00C12D6C" w:rsidP="00C12D6C">
      <w:r w:rsidRPr="00C12D6C">
        <w:t xml:space="preserve">Напомним кстати, что как писал почти два месяца назад "Монокль": "В наступающем году после затишья года уходящего ожидается около двух десятков первичных размещений" ("Гид по завтрашним </w:t>
      </w:r>
      <w:r w:rsidRPr="00C12D6C">
        <w:rPr>
          <w:lang w:val="en-US"/>
        </w:rPr>
        <w:t>IPO</w:t>
      </w:r>
      <w:r w:rsidRPr="00C12D6C">
        <w:t>").</w:t>
      </w:r>
    </w:p>
    <w:p w14:paraId="10536F1D" w14:textId="77777777" w:rsidR="00C12D6C" w:rsidRPr="00C12D6C" w:rsidRDefault="00C12D6C" w:rsidP="00C12D6C">
      <w:r w:rsidRPr="00C12D6C">
        <w:t xml:space="preserve">Нашим амбициозным прогнозам вторят в Газпромбанке, заглядывая при этом еще дальше и еще смелее. Как сообщило накануне сетевое издание </w:t>
      </w:r>
      <w:r w:rsidRPr="00C12D6C">
        <w:rPr>
          <w:lang w:val="en-US"/>
        </w:rPr>
        <w:t>investfuture</w:t>
      </w:r>
      <w:r w:rsidRPr="00C12D6C">
        <w:t>.</w:t>
      </w:r>
      <w:r w:rsidRPr="00C12D6C">
        <w:rPr>
          <w:lang w:val="en-US"/>
        </w:rPr>
        <w:t>ru</w:t>
      </w:r>
      <w:r w:rsidRPr="00C12D6C">
        <w:t>, там ожидают 10-20 размещений в этом году, "а к 2027-му - до 40, итого до 60!".</w:t>
      </w:r>
    </w:p>
    <w:p w14:paraId="6BDA7856" w14:textId="77777777" w:rsidR="00C12D6C" w:rsidRPr="00C12D6C" w:rsidRDefault="00C12D6C" w:rsidP="00C12D6C">
      <w:r w:rsidRPr="00C12D6C">
        <w:t>И реально существует веер прогнозов, так что уже менее, чем через год будет небезынтересно подвести итоги: "ВТБ и Сбер, правда, дают более скромный прогноз: 5-10 размещений в первой половине года, с фокусом на качество, а не количество", - пишет упомянутое издание.</w:t>
      </w:r>
    </w:p>
    <w:p w14:paraId="37475C0D" w14:textId="77777777" w:rsidR="00C12D6C" w:rsidRPr="00C12D6C" w:rsidRDefault="00C12D6C" w:rsidP="00C12D6C">
      <w:r w:rsidRPr="00C12D6C">
        <w:t>Оно же упоминает: "Мосбиржа фиксирует - около 20 эмитентов технически готовы". О чем мы и писали.</w:t>
      </w:r>
    </w:p>
    <w:p w14:paraId="47A32C46" w14:textId="77777777" w:rsidR="00C12D6C" w:rsidRPr="00C12D6C" w:rsidRDefault="00C12D6C" w:rsidP="00C12D6C">
      <w:r w:rsidRPr="00C12D6C">
        <w:t>"Мы считаем, что примерно 20 компаний близки к тому, чтобы принять решение о выходе на публичный рынок", -цитировал "Монокль" председателя правления Московской биржи Виктора Жидкова. "Насколько они будут оценивать все факторы конъюнктуры рынка, нам неизвестно. - сказал также он. - Технически готовы около 20 компаний. Более отдаленная готовность примерно у 50".</w:t>
      </w:r>
    </w:p>
    <w:p w14:paraId="59E65331" w14:textId="77777777" w:rsidR="00C12D6C" w:rsidRPr="00C12D6C" w:rsidRDefault="00C12D6C" w:rsidP="00C12D6C">
      <w:r w:rsidRPr="00C12D6C">
        <w:t>Вот и вероятные корни двухлетнего прогноза Газпромбанка. Ну а далее предправления Мосбиржи сообщил: "Если говорить о потенциале рынка ближайшего будущего, это 400 500 компаний. Но прогнозы сроков их выхода на биржу мы не даем, потому что в каждом случае это индивидуальное решение".</w:t>
      </w:r>
    </w:p>
    <w:p w14:paraId="74126FDD" w14:textId="77777777" w:rsidR="00C12D6C" w:rsidRPr="00C12D6C" w:rsidRDefault="00C12D6C" w:rsidP="00C12D6C">
      <w:r w:rsidRPr="00C12D6C">
        <w:t>Надо, значит надо</w:t>
      </w:r>
    </w:p>
    <w:p w14:paraId="025A752A" w14:textId="77777777" w:rsidR="00C12D6C" w:rsidRPr="00C12D6C" w:rsidRDefault="00C12D6C" w:rsidP="00C12D6C">
      <w:r w:rsidRPr="00C12D6C">
        <w:t>Вообще, активизация темы роста числа первичных размещений вряд ли основана только на анализе конъюнктуры рынка. Она имеет мощную политическую базу.</w:t>
      </w:r>
    </w:p>
    <w:p w14:paraId="634D73BE" w14:textId="77777777" w:rsidR="00C12D6C" w:rsidRPr="00C12D6C" w:rsidRDefault="00C12D6C" w:rsidP="00C12D6C">
      <w:r w:rsidRPr="00C12D6C">
        <w:t xml:space="preserve">Пейзаж рынка </w:t>
      </w:r>
      <w:r w:rsidRPr="00C12D6C">
        <w:rPr>
          <w:lang w:val="en-US"/>
        </w:rPr>
        <w:t>IPO</w:t>
      </w:r>
      <w:r w:rsidRPr="00C12D6C">
        <w:t xml:space="preserve"> в РФ за последние 5 лет похож на пилу: пики в 2020-21 годах и 2023-24-м, снижение в 2022-м - и ы 2025 году.</w:t>
      </w:r>
    </w:p>
    <w:p w14:paraId="2D5E35AA" w14:textId="77777777" w:rsidR="00C12D6C" w:rsidRPr="00C12D6C" w:rsidRDefault="00C12D6C" w:rsidP="00C12D6C">
      <w:r w:rsidRPr="00C12D6C">
        <w:t xml:space="preserve">Статистика по </w:t>
      </w:r>
      <w:r w:rsidRPr="00C12D6C">
        <w:rPr>
          <w:lang w:val="en-US"/>
        </w:rPr>
        <w:t>IPO</w:t>
      </w:r>
      <w:r w:rsidRPr="00C12D6C">
        <w:t xml:space="preserve"> по годам следующая: 2021 год - 7 размещений на 290 млрд рублей; 2023 год - 7 размещений, но уже на 42 млрд рублей; 2024 год - 15 </w:t>
      </w:r>
      <w:r w:rsidRPr="00C12D6C">
        <w:rPr>
          <w:lang w:val="en-US"/>
        </w:rPr>
        <w:t>IPO</w:t>
      </w:r>
      <w:r w:rsidRPr="00C12D6C">
        <w:t xml:space="preserve"> на 82 млрд рублей </w:t>
      </w:r>
      <w:r w:rsidRPr="00C12D6C">
        <w:lastRenderedPageBreak/>
        <w:t xml:space="preserve">и наконец 2025 год - 4 размещения на 37 млрд рублей, причем, 31,7 млрд из них пришлись на </w:t>
      </w:r>
      <w:r w:rsidRPr="00C12D6C">
        <w:rPr>
          <w:lang w:val="en-US"/>
        </w:rPr>
        <w:t>IPO</w:t>
      </w:r>
      <w:r w:rsidRPr="00C12D6C">
        <w:t xml:space="preserve"> "Дом.РФ".</w:t>
      </w:r>
    </w:p>
    <w:p w14:paraId="123D8BFC" w14:textId="77777777" w:rsidR="00C12D6C" w:rsidRPr="00C12D6C" w:rsidRDefault="00C12D6C" w:rsidP="00C12D6C">
      <w:r w:rsidRPr="00C12D6C">
        <w:t>Капитализация российского рынка акций в 2021 году (как указывает рейтинговое агентство): 62,8 трлн руб. (47% от ВВП); в 2022 году падение до 38,4 трлн руб. (26% ВВП), в 2023-м - рост до 56,9 трлн руб. (32% ВВП); в 2024-м 53,2 трлн руб. (26% от ВВП).</w:t>
      </w:r>
    </w:p>
    <w:p w14:paraId="5E2FF220" w14:textId="77777777" w:rsidR="00C12D6C" w:rsidRPr="00C12D6C" w:rsidRDefault="00C12D6C" w:rsidP="00C12D6C">
      <w:r w:rsidRPr="00C12D6C">
        <w:t>И в то самое время Владимир Путин в послании к Федеральному собранию поручил капитализацию российского фондового рынка значительно увеличить: до 66% от ВВП к 2030 году и до 75% от ВВП к 2036-му. Позже вышел и соответствующий президентский указ (№309 от 07.05.2024 года).</w:t>
      </w:r>
    </w:p>
    <w:p w14:paraId="70689C93" w14:textId="77777777" w:rsidR="00C12D6C" w:rsidRPr="00C20D7A" w:rsidRDefault="00C12D6C" w:rsidP="00C12D6C">
      <w:r w:rsidRPr="00C12D6C">
        <w:t xml:space="preserve">Минувший год, о котором уже так много сказано, что в данном случае не стоит повторять, для решения этой задачи пришлось пропустить: капитализация фондового рынка составила в 25-м году 50 трлн руб. </w:t>
      </w:r>
      <w:r w:rsidRPr="00C20D7A">
        <w:t>(23% от ВВП). И в правительстве явно спохватились.</w:t>
      </w:r>
    </w:p>
    <w:p w14:paraId="784BA344" w14:textId="77777777" w:rsidR="00C12D6C" w:rsidRPr="00C20D7A" w:rsidRDefault="00C12D6C" w:rsidP="00C12D6C">
      <w:r w:rsidRPr="00C20D7A">
        <w:t xml:space="preserve">Инструмент, который, очевидно, оказался ближе всего под рукой и ухватистее, это выход на </w:t>
      </w:r>
      <w:r w:rsidRPr="00C12D6C">
        <w:rPr>
          <w:lang w:val="en-US"/>
        </w:rPr>
        <w:t>IPO</w:t>
      </w:r>
      <w:r w:rsidRPr="00C20D7A">
        <w:t xml:space="preserve"> госкомпаний. В самом конце прошлого года, как напомнили на днях "Ведомости", министр финансов РФ Антон Силуанов сообщил (в интервью "России-24"): правительство подготовит список государственных компаний для выхода на фондовый рынок. Упомянув, что Путин поставил задачу добиться к 2030 году капитализации фондового рынка в две трети ВВП, министр подчеркнул, что без выхода на фондовый рынок госкомпаний осуществить это будет невозможно.</w:t>
      </w:r>
    </w:p>
    <w:p w14:paraId="08C36F41" w14:textId="77777777" w:rsidR="00C12D6C" w:rsidRPr="00C20D7A" w:rsidRDefault="00C12D6C" w:rsidP="00C12D6C">
      <w:r w:rsidRPr="00C20D7A">
        <w:t xml:space="preserve">Президент о своих указаниях тоже не забыл и 29 января поручил кабмину и ЦБ разработать и реализовать программу </w:t>
      </w:r>
      <w:r w:rsidRPr="00C12D6C">
        <w:rPr>
          <w:lang w:val="en-US"/>
        </w:rPr>
        <w:t>IPO</w:t>
      </w:r>
      <w:r w:rsidRPr="00C20D7A">
        <w:t xml:space="preserve"> и </w:t>
      </w:r>
      <w:r w:rsidRPr="00C12D6C">
        <w:rPr>
          <w:lang w:val="en-US"/>
        </w:rPr>
        <w:t>SPO</w:t>
      </w:r>
      <w:r w:rsidRPr="00C20D7A">
        <w:t xml:space="preserve"> (дополнительных размещений) бумаг госкомпаний на внутреннем рынке на период до 2030 года. Доклад о выполнении поручений он ждет до 1 марта (и затем - раз в полгода).</w:t>
      </w:r>
    </w:p>
    <w:p w14:paraId="4C8FB45B" w14:textId="77777777" w:rsidR="00C12D6C" w:rsidRPr="00C20D7A" w:rsidRDefault="00C12D6C" w:rsidP="00C12D6C">
      <w:r w:rsidRPr="00C20D7A">
        <w:t xml:space="preserve">Об обсуждении темы выхода на </w:t>
      </w:r>
      <w:r w:rsidRPr="00C12D6C">
        <w:rPr>
          <w:lang w:val="en-US"/>
        </w:rPr>
        <w:t>IPO</w:t>
      </w:r>
      <w:r w:rsidRPr="00C20D7A">
        <w:t xml:space="preserve"> новых компаний с госучастием и создания для этого стимулов заявил на днях на одном из публичных мероприятий замминистра финансов Иван Чебесков: "Мы понимаем текущую динамику, и, конечно, есть задача ее исправлять в правильном направлении. Есть федеральный проект по развитию фондового рынка. В рамках его мы будем работать", - привело его слова агентство ТАСС.</w:t>
      </w:r>
    </w:p>
    <w:p w14:paraId="4006D330" w14:textId="77777777" w:rsidR="00C12D6C" w:rsidRPr="00C20D7A" w:rsidRDefault="00C12D6C" w:rsidP="00C12D6C">
      <w:r w:rsidRPr="00C12D6C">
        <w:rPr>
          <w:lang w:val="en-US"/>
        </w:rPr>
        <w:t>IPO</w:t>
      </w:r>
      <w:r w:rsidRPr="00C20D7A">
        <w:t xml:space="preserve"> по графику</w:t>
      </w:r>
    </w:p>
    <w:p w14:paraId="60E0A0E4" w14:textId="77777777" w:rsidR="00C12D6C" w:rsidRPr="00C20D7A" w:rsidRDefault="00C12D6C" w:rsidP="00C12D6C">
      <w:r w:rsidRPr="00C20D7A">
        <w:t>Но одними госкомпаниями, конечно, рынок ограничиться не может (и те 20, что ждут на рынке в этом году, в основном частные). Да и государственным компаниям нужно стимулирование. Делается ли что-то, и что?</w:t>
      </w:r>
    </w:p>
    <w:p w14:paraId="24893D78" w14:textId="77777777" w:rsidR="00C12D6C" w:rsidRPr="00C20D7A" w:rsidRDefault="00C12D6C" w:rsidP="00C12D6C">
      <w:r w:rsidRPr="00C20D7A">
        <w:t>"Эксперт РФ" пишет: "В период 2026-2027 годов поддерживающим фактором развития российского фондового рынка будет внутренняя трансформация Московской и Санкт-Петербургской бирж. Биржевая инфраструктура перестает быть просто посредником, превращаясь в активного стимулятора роста рынка".</w:t>
      </w:r>
    </w:p>
    <w:p w14:paraId="4007FAFD" w14:textId="77777777" w:rsidR="00C12D6C" w:rsidRPr="00C20D7A" w:rsidRDefault="00C12D6C" w:rsidP="00C12D6C">
      <w:r w:rsidRPr="00C20D7A">
        <w:t>Указано, что "модернизация площадок напрямую влияет на два важнейших параметра: 1) Поддержка новых размещений. Упрощение процедур листинга, развитие цифровых платформ для быстрого выхода на рынок (</w:t>
      </w:r>
      <w:r w:rsidRPr="00C12D6C">
        <w:rPr>
          <w:lang w:val="en-US"/>
        </w:rPr>
        <w:t>Pre</w:t>
      </w:r>
      <w:r w:rsidRPr="00C20D7A">
        <w:t>-</w:t>
      </w:r>
      <w:r w:rsidRPr="00C12D6C">
        <w:rPr>
          <w:lang w:val="en-US"/>
        </w:rPr>
        <w:t>IPO</w:t>
      </w:r>
      <w:r w:rsidRPr="00C20D7A">
        <w:t xml:space="preserve"> и ЦФА) и налоговые преференции создают комфортный коридор для новых эмитентов. 2) Рост стоимости уже торгуемых компаний. Расширение новых аналитических инструментов повышает прозрачность рынка".</w:t>
      </w:r>
    </w:p>
    <w:p w14:paraId="0D347FF3" w14:textId="77777777" w:rsidR="00C12D6C" w:rsidRPr="00C20D7A" w:rsidRDefault="00C12D6C" w:rsidP="00C12D6C">
      <w:r w:rsidRPr="00C20D7A">
        <w:lastRenderedPageBreak/>
        <w:t>Называются также такие известные факторы, призванные обеспечить приток на рынок денег, как "Программа долгосрочных сбережений (ПДС)", индивидуальные инвестиционные счета 3-го типа (ИИС-3), развитие закрытых паев инвестиционных фондов (ЗПИФ) и корпоративные пенсионные программы.</w:t>
      </w:r>
    </w:p>
    <w:p w14:paraId="321D3E0F" w14:textId="77777777" w:rsidR="00C12D6C" w:rsidRPr="00C20D7A" w:rsidRDefault="00C12D6C" w:rsidP="00C12D6C">
      <w:r w:rsidRPr="00C20D7A">
        <w:t>Меры… не приняты (одна есть и две в проекте): 1) "Для малого и среднего бизнеса, а также высокотехнологичных компаний действуют программы возмещения расходов на листинг". 2) Рассматривается возможность предоставления преимуществ при госзакупках и получении госгарантий тем компаниям, у которых доля акций в свободном обращении составляет не менее 15%. 3) Согласно Стратегии развития финансового рынка до 2030 года рассматривается возможность для того, чтобы публичные компании получали льготный доступ к государственной собственности.</w:t>
      </w:r>
    </w:p>
    <w:p w14:paraId="26E28271" w14:textId="77777777" w:rsidR="00C12D6C" w:rsidRPr="00C20D7A" w:rsidRDefault="00C12D6C" w:rsidP="00C12D6C">
      <w:r w:rsidRPr="00C20D7A">
        <w:t xml:space="preserve">В обзоре указаны также такие меры, как улучшение корпоративного управления и защита прав инвесторов, вступившие с конца 2025 года коррективы со стороны ПАО "Московская биржа" и Банка России, направленные на повышение качества размещений и прозрачности компаний, а также отраслевые меры - со стороны государства - по поддержка первичных размещений </w:t>
      </w:r>
      <w:r w:rsidRPr="00C12D6C">
        <w:rPr>
          <w:lang w:val="en-US"/>
        </w:rPr>
        <w:t>IT</w:t>
      </w:r>
      <w:r w:rsidRPr="00C20D7A">
        <w:t>-компаний.</w:t>
      </w:r>
    </w:p>
    <w:p w14:paraId="5AB2FD58" w14:textId="77777777" w:rsidR="00C12D6C" w:rsidRPr="00C20D7A" w:rsidRDefault="00C12D6C" w:rsidP="00C12D6C">
      <w:r w:rsidRPr="00C20D7A">
        <w:t xml:space="preserve">"Ключевым драйвером размещения будет смягчение денежно-кредитной политики. По прогнозам ЦБ РФ, среднегодовая ключевая ставка в 2026-м будет фиксироваться на уровне 13-13,5% - это все еще дорого, но тенденция на снижение станет сигналом для компаний начать подготовку к </w:t>
      </w:r>
      <w:r w:rsidRPr="00C12D6C">
        <w:rPr>
          <w:lang w:val="en-US"/>
        </w:rPr>
        <w:t>IPO</w:t>
      </w:r>
      <w:r w:rsidRPr="00C20D7A">
        <w:t>", - пишут аналитики.</w:t>
      </w:r>
    </w:p>
    <w:p w14:paraId="1FAE0013" w14:textId="77777777" w:rsidR="00C12D6C" w:rsidRPr="00C20D7A" w:rsidRDefault="00C12D6C" w:rsidP="00C12D6C">
      <w:r w:rsidRPr="00C20D7A">
        <w:t xml:space="preserve">А скоро, похоже, и для аналитических количественных прогнозов роста числа </w:t>
      </w:r>
      <w:r w:rsidRPr="00C12D6C">
        <w:rPr>
          <w:lang w:val="en-US"/>
        </w:rPr>
        <w:t>IPO</w:t>
      </w:r>
      <w:r w:rsidRPr="00C20D7A">
        <w:t xml:space="preserve"> места уже не останется. Ведь, как отмечено в обзоре, "в конце 2025 - начале 2026 годов президент РФ утвердил ряд поручений для правительства, с целью поддержки первичных размещений в 2026-2027 годах", - и первым из них названо следующее: "Правительству совместно с ЦБ следует утвердить графики выхода на биржу частных компаний по основным отраслям, включая меры их поддержки".</w:t>
      </w:r>
    </w:p>
    <w:p w14:paraId="714589FA" w14:textId="77777777" w:rsidR="00C12D6C" w:rsidRPr="00C20D7A" w:rsidRDefault="00C12D6C" w:rsidP="00C12D6C">
      <w:r w:rsidRPr="00C20D7A">
        <w:t>Следующим пунктом названо уже звучавшее выше: "Приватизация через рынок. Поручено сформировать конкретный перечень компаний с государственным участием для продажи их долей на фондовым рынке в течение 2026 года".</w:t>
      </w:r>
    </w:p>
    <w:p w14:paraId="13CB3B0D" w14:textId="77777777" w:rsidR="00C12D6C" w:rsidRPr="00C20D7A" w:rsidRDefault="00C12D6C" w:rsidP="00C12D6C">
      <w:r w:rsidRPr="00C20D7A">
        <w:t>Сергей Мануков, Михаил Рогожников</w:t>
      </w:r>
    </w:p>
    <w:p w14:paraId="2E3CA2E4" w14:textId="1B2CFEA7" w:rsidR="00C12D6C" w:rsidRPr="008A72AD" w:rsidRDefault="00C12D6C" w:rsidP="00C12D6C">
      <w:hyperlink r:id="rId44" w:history="1">
        <w:r w:rsidRPr="007C3F20">
          <w:rPr>
            <w:rStyle w:val="a3"/>
            <w:lang w:val="en-US"/>
          </w:rPr>
          <w:t>https</w:t>
        </w:r>
        <w:r w:rsidRPr="00C20D7A">
          <w:rPr>
            <w:rStyle w:val="a3"/>
          </w:rPr>
          <w:t>://</w:t>
        </w:r>
        <w:r w:rsidRPr="007C3F20">
          <w:rPr>
            <w:rStyle w:val="a3"/>
            <w:lang w:val="en-US"/>
          </w:rPr>
          <w:t>monocle</w:t>
        </w:r>
        <w:r w:rsidRPr="00C20D7A">
          <w:rPr>
            <w:rStyle w:val="a3"/>
          </w:rPr>
          <w:t>.</w:t>
        </w:r>
        <w:r w:rsidRPr="007C3F20">
          <w:rPr>
            <w:rStyle w:val="a3"/>
            <w:lang w:val="en-US"/>
          </w:rPr>
          <w:t>ru</w:t>
        </w:r>
        <w:r w:rsidRPr="00C20D7A">
          <w:rPr>
            <w:rStyle w:val="a3"/>
          </w:rPr>
          <w:t>/2026/02/18/</w:t>
        </w:r>
        <w:r w:rsidRPr="007C3F20">
          <w:rPr>
            <w:rStyle w:val="a3"/>
            <w:lang w:val="en-US"/>
          </w:rPr>
          <w:t>prognoz</w:t>
        </w:r>
        <w:r w:rsidRPr="00C20D7A">
          <w:rPr>
            <w:rStyle w:val="a3"/>
          </w:rPr>
          <w:t>-</w:t>
        </w:r>
        <w:r w:rsidRPr="007C3F20">
          <w:rPr>
            <w:rStyle w:val="a3"/>
            <w:lang w:val="en-US"/>
          </w:rPr>
          <w:t>monoklya</w:t>
        </w:r>
        <w:r w:rsidRPr="00C20D7A">
          <w:rPr>
            <w:rStyle w:val="a3"/>
          </w:rPr>
          <w:t>-</w:t>
        </w:r>
        <w:r w:rsidRPr="007C3F20">
          <w:rPr>
            <w:rStyle w:val="a3"/>
            <w:lang w:val="en-US"/>
          </w:rPr>
          <w:t>po</w:t>
        </w:r>
        <w:r w:rsidRPr="00C20D7A">
          <w:rPr>
            <w:rStyle w:val="a3"/>
          </w:rPr>
          <w:t>-</w:t>
        </w:r>
        <w:r w:rsidRPr="007C3F20">
          <w:rPr>
            <w:rStyle w:val="a3"/>
            <w:lang w:val="en-US"/>
          </w:rPr>
          <w:t>rostu</w:t>
        </w:r>
        <w:r w:rsidRPr="00C20D7A">
          <w:rPr>
            <w:rStyle w:val="a3"/>
          </w:rPr>
          <w:t>-</w:t>
        </w:r>
        <w:r w:rsidRPr="007C3F20">
          <w:rPr>
            <w:rStyle w:val="a3"/>
            <w:lang w:val="en-US"/>
          </w:rPr>
          <w:t>chisla</w:t>
        </w:r>
        <w:r w:rsidRPr="00C20D7A">
          <w:rPr>
            <w:rStyle w:val="a3"/>
          </w:rPr>
          <w:t>-</w:t>
        </w:r>
        <w:r w:rsidRPr="007C3F20">
          <w:rPr>
            <w:rStyle w:val="a3"/>
            <w:lang w:val="en-US"/>
          </w:rPr>
          <w:t>ipo</w:t>
        </w:r>
        <w:r w:rsidRPr="00C20D7A">
          <w:rPr>
            <w:rStyle w:val="a3"/>
          </w:rPr>
          <w:t>-</w:t>
        </w:r>
        <w:r w:rsidRPr="007C3F20">
          <w:rPr>
            <w:rStyle w:val="a3"/>
            <w:lang w:val="en-US"/>
          </w:rPr>
          <w:t>stanovitsya</w:t>
        </w:r>
        <w:r w:rsidRPr="00C20D7A">
          <w:rPr>
            <w:rStyle w:val="a3"/>
          </w:rPr>
          <w:t>-</w:t>
        </w:r>
        <w:r w:rsidRPr="007C3F20">
          <w:rPr>
            <w:rStyle w:val="a3"/>
            <w:lang w:val="en-US"/>
          </w:rPr>
          <w:t>vse</w:t>
        </w:r>
        <w:r w:rsidRPr="00C20D7A">
          <w:rPr>
            <w:rStyle w:val="a3"/>
          </w:rPr>
          <w:t>-</w:t>
        </w:r>
        <w:r w:rsidRPr="007C3F20">
          <w:rPr>
            <w:rStyle w:val="a3"/>
            <w:lang w:val="en-US"/>
          </w:rPr>
          <w:t>boleye</w:t>
        </w:r>
        <w:r w:rsidRPr="00C20D7A">
          <w:rPr>
            <w:rStyle w:val="a3"/>
          </w:rPr>
          <w:t>-</w:t>
        </w:r>
        <w:r w:rsidRPr="007C3F20">
          <w:rPr>
            <w:rStyle w:val="a3"/>
            <w:lang w:val="en-US"/>
          </w:rPr>
          <w:t>veroyatnym</w:t>
        </w:r>
        <w:r w:rsidRPr="00C20D7A">
          <w:rPr>
            <w:rStyle w:val="a3"/>
          </w:rPr>
          <w:t>/</w:t>
        </w:r>
      </w:hyperlink>
      <w:r w:rsidRPr="00C20D7A">
        <w:t xml:space="preserve"> </w:t>
      </w:r>
    </w:p>
    <w:p w14:paraId="0786807A" w14:textId="78E92F84" w:rsidR="00C20D7A" w:rsidRPr="00C20D7A" w:rsidRDefault="00C20D7A" w:rsidP="00C20D7A">
      <w:pPr>
        <w:pStyle w:val="2"/>
      </w:pPr>
      <w:bookmarkStart w:id="141" w:name="_Toc222380399"/>
      <w:r w:rsidRPr="00C20D7A">
        <w:t>Ведомости, 19.02.2026, Бизнес призвал увеличить перечень не облагаемых налогом социальных расходов</w:t>
      </w:r>
      <w:bookmarkEnd w:id="141"/>
    </w:p>
    <w:p w14:paraId="46BFF0A4" w14:textId="77777777" w:rsidR="00C20D7A" w:rsidRPr="00C20D7A" w:rsidRDefault="00C20D7A" w:rsidP="00C20D7A">
      <w:pPr>
        <w:pStyle w:val="3"/>
      </w:pPr>
      <w:bookmarkStart w:id="142" w:name="_Toc222380400"/>
      <w:r w:rsidRPr="00C20D7A">
        <w:t>Российский союз промышленников и предпринимателей (РСПП) предложил властям расширить перечень не облагаемых налогами расходов компаний, направленных на поддержку семей с детьми. Об этом рассказал президент союза Александр Шохин в ходе форума "Ответственная деловая практика: социальные аспекты вклада бизнеса в достижение национальных целей" в рамках Недели российского бизнеса.</w:t>
      </w:r>
      <w:bookmarkEnd w:id="142"/>
    </w:p>
    <w:p w14:paraId="4C7F8F2E" w14:textId="77777777" w:rsidR="00C20D7A" w:rsidRPr="00C20D7A" w:rsidRDefault="00C20D7A" w:rsidP="00C20D7A">
      <w:r w:rsidRPr="00C20D7A">
        <w:t xml:space="preserve">С начала этого года единовременная выплата сотруднику при рождении ребенка на сумму до 1 млн руб. не облагается НДФЛ, страховыми взносами и может быть учтена в </w:t>
      </w:r>
      <w:r w:rsidRPr="00C20D7A">
        <w:lastRenderedPageBreak/>
        <w:t>составе внереализационных расходов при исчислении налога на прибыль. Ранее максимальный размер не облагаемой налогом выплаты составлял 50 000 руб.</w:t>
      </w:r>
    </w:p>
    <w:p w14:paraId="54A4BC1D" w14:textId="77777777" w:rsidR="00C20D7A" w:rsidRPr="00C20D7A" w:rsidRDefault="00C20D7A" w:rsidP="00C20D7A">
      <w:r w:rsidRPr="00C20D7A">
        <w:t>По мнению бизнеса, было бы правильно расширять перечень таких расходов. "Многие компании действительно системно подходят к этому вопросу и кроме единовременных выплат решают проблемы через корпоративные и жилищные программы, поддержку уплаты ипотечных кредитов и целый ряд других вопросов", - отметил Шохин. Например, можно было бы распространить действие этой льготы на расходы по поддержке матерей, которые находятся в отпуске по уходу за ребенком, и др. Это позволило бы диверсифицировать формы поддержки, уверен он. Сейчас РСПП активно взаимодействует по этому вопросу с Госсоветом, добавил он.</w:t>
      </w:r>
    </w:p>
    <w:p w14:paraId="4ED18DA9" w14:textId="77777777" w:rsidR="00C20D7A" w:rsidRPr="00C20D7A" w:rsidRDefault="00C20D7A" w:rsidP="00C20D7A">
      <w:r w:rsidRPr="00C20D7A">
        <w:rPr>
          <w:lang w:val="en-US"/>
        </w:rPr>
        <w:t>E</w:t>
      </w:r>
      <w:r w:rsidRPr="00C20D7A">
        <w:t>ще одним дополнительным стимулом для социальных инвестиций компаний могло бы стать включение их в перечень расходов, позволяющих получить федеральный инвествычет (ФИНВ), уверен глава РСПП. Сейчас компании, подпадающие под критерии ФИНВа, могут вернуть 3% от суммы инвестиций в машины, оборудование и запатентованные нематериальные активы.</w:t>
      </w:r>
    </w:p>
    <w:p w14:paraId="5834602A" w14:textId="77777777" w:rsidR="00C20D7A" w:rsidRPr="00C20D7A" w:rsidRDefault="00C20D7A" w:rsidP="00C20D7A">
      <w:r w:rsidRPr="00C20D7A">
        <w:t>"Ведомости" отправили запрос представителю Минфина, а также в ряд крупнейших компаний, среди которых "Газпром", "Лукойл", Сбербанк, РЖД и др.</w:t>
      </w:r>
    </w:p>
    <w:p w14:paraId="6C5A07F1" w14:textId="77777777" w:rsidR="00C20D7A" w:rsidRPr="00C20D7A" w:rsidRDefault="00C20D7A" w:rsidP="00C20D7A">
      <w:r w:rsidRPr="00C20D7A">
        <w:t>В ПАО "Россети" предусмотрены различные социальные выплаты, включая единовременную выплату за рождение ребенка, сообщил "Ведомостям" представитель компании. Считаем целесообразным включить в перечень не облагаемых налогами все социальные выплаты, связанные с поддержанием здоровья и семьи, добавил он.</w:t>
      </w:r>
    </w:p>
    <w:p w14:paraId="54EF9CD7" w14:textId="77777777" w:rsidR="00C20D7A" w:rsidRPr="00172B5B" w:rsidRDefault="00C20D7A" w:rsidP="00C20D7A">
      <w:r w:rsidRPr="00C20D7A">
        <w:t xml:space="preserve">В "Северстали" действуют ряд мер поддержки семей с детьми, таких как единовременная выплата на рождение ребенка в размере 28 640 руб., а также ежемесячная прибавка многодетным семьям в объеме 1000 руб. на каждого ребенка, сообщил представитель компании. Кроме того, за досрочный выход из декретного отпуска (раньше достижения ребенком трехлетнего возраста) полагается выплата 12 000 руб. в месяц, которая может компенсировать, например, расходы на частный детский сад, добавил он. "Наконец, беременные женщины с момента постановки на учет в женской консультации по решению компании освобождаются от работы во вредных условиях. </w:t>
      </w:r>
      <w:r w:rsidRPr="00172B5B">
        <w:t>Вместо перевода на легкий труд (как предусмотрено ТК РФ) им предоставляется возможность получать выплату по среднему заработку до начала больничного по беременности и родам", - рассказал представитель "Северстали".</w:t>
      </w:r>
    </w:p>
    <w:p w14:paraId="0760BA5A" w14:textId="77777777" w:rsidR="00C20D7A" w:rsidRPr="00172B5B" w:rsidRDefault="00C20D7A" w:rsidP="00C20D7A">
      <w:r w:rsidRPr="00172B5B">
        <w:t>Социальные задачи бизнеса</w:t>
      </w:r>
    </w:p>
    <w:p w14:paraId="24D9C4CC" w14:textId="77777777" w:rsidR="00C20D7A" w:rsidRPr="00172B5B" w:rsidRDefault="00C20D7A" w:rsidP="00C20D7A">
      <w:r w:rsidRPr="00172B5B">
        <w:t>Согласно результатам опроса РСПП, 45% компаний-респондентов в 2025 г. отмечали, что среди их социальных задач на первом месте стоит развитие человеческого капитала и укрепление кадрового потенциала и этот показатель в полтора раза выше аналогичного за 2024 г., рассказал Шохин. Далее по приоритетности стоят обеспечение экологической безопасности, технологического лидерства и др., добавил он. В своих ответах на вопросы анкет в 2024-2025 гг. 70% опрошенных отмечают наличие различных мер поддержки сотрудников с семейными обязанностями, причем их доля выше среди крупных компаний, указал Шохин.</w:t>
      </w:r>
    </w:p>
    <w:p w14:paraId="515F7F21" w14:textId="77777777" w:rsidR="00C20D7A" w:rsidRPr="00172B5B" w:rsidRDefault="00C20D7A" w:rsidP="00C20D7A">
      <w:r w:rsidRPr="00172B5B">
        <w:t xml:space="preserve">Вице-премьер Татьяна Голикова в своем приветственном слове согласилась с тем, что современные компании стремятся не только зарабатывать деньги, но и менять к лучшему жизнь сотрудников. В первую очередь это касается работников с семейными </w:t>
      </w:r>
      <w:r w:rsidRPr="00172B5B">
        <w:lastRenderedPageBreak/>
        <w:t>обязанностями, подчеркнула она. Голикова напомнила, что в прошлом году российской трехсторонней комиссией по регулированию социально-трудовых отношений был утвержден корпоративный демографический стандарт, который может помочь работодателям выстроить системную работу по поддержке таких работников.</w:t>
      </w:r>
    </w:p>
    <w:p w14:paraId="579CF798" w14:textId="77777777" w:rsidR="00C20D7A" w:rsidRPr="00172B5B" w:rsidRDefault="00C20D7A" w:rsidP="00C20D7A">
      <w:r w:rsidRPr="00172B5B">
        <w:t>Семья - ключевая ценность для россиян, при этом настроение работодателя сегодня "напрямую влияет на то, насколько человек будет успешен и счастлив в качестве родителя", уверена первый замминистра труда и социальной защиты Ольга Баталина. "Девушка хотела создать счастливую семью, но так увязла в рабочем графике, что никак не может это, собственно, сделать. Девушка хочет решиться на рождение первого ребенка, но очень боится, что это помешает ее карьерному росту, затормозит ее продвижение. А работодатель говорит: подожди, вот-вот еще два года - и мы сделаем тебе очередное и очень привлекательное карьерное предложение", - отметила она.</w:t>
      </w:r>
    </w:p>
    <w:p w14:paraId="3BD35D8F" w14:textId="77777777" w:rsidR="00C20D7A" w:rsidRPr="00172B5B" w:rsidRDefault="00C20D7A" w:rsidP="00C20D7A">
      <w:r w:rsidRPr="00172B5B">
        <w:t>Обширная дискуссия о том, что работодатели должны стимулировать рождаемость среди сотрудников, развернулась на Неделе российского бизнеса еще год назад. Тогда Баталина отмечала прямую заинтересованность бизнеса в улучшении демографии. "Дети, которые рождаются сегодня, - это ваши работники через 20 лет", - подчеркивала она. По ее словам, от вложений в поддержку демографии сейчас будет зависеть рынок труда, в том числе расходы на борьбу за трудовые ресурсы и удержание работников. Эта тема обсуждалась и на встрече президента России Владимира Путина с бизнесом в конце года, писали "Ведомости" 25 декабря. Компании ощущают высокий уровень социальной ответственности, отмечал тогда Шохин.</w:t>
      </w:r>
    </w:p>
    <w:p w14:paraId="36B8FA89" w14:textId="77777777" w:rsidR="00C20D7A" w:rsidRPr="00172B5B" w:rsidRDefault="00C20D7A" w:rsidP="00C20D7A">
      <w:r w:rsidRPr="00172B5B">
        <w:t>Общая потребность в кадрах на семь лет в России составляет 12,2 млн работников, при этом в год в экономику необходимо привлекать 1,7 млн человек, оценивал в декабре министр труда и соцзащиты Антон Котяков.</w:t>
      </w:r>
    </w:p>
    <w:p w14:paraId="71702D76" w14:textId="77777777" w:rsidR="00C20D7A" w:rsidRPr="00172B5B" w:rsidRDefault="00C20D7A" w:rsidP="00C20D7A">
      <w:r w:rsidRPr="00172B5B">
        <w:t>Совместные усилия</w:t>
      </w:r>
    </w:p>
    <w:p w14:paraId="778D03F2" w14:textId="77777777" w:rsidR="00C20D7A" w:rsidRPr="00172B5B" w:rsidRDefault="00C20D7A" w:rsidP="00C20D7A">
      <w:r w:rsidRPr="00172B5B">
        <w:t>Только государственных мер поддержки рождаемости недостаточно для ее увеличения, участие же работодателя существенно усилило бы эффект, уверен директор научно-исследовательского центра пространственного анализа и региональной диагностики ИПЭИ РАНХиГС Дмитрий Землянский. По его наблюдениям, в последние 3-4 года на волне кадрового голода работодатели изменили отношение к семейной политике - например, случаи отказа молодым соискательницам, у которых пока нет детей, стали реже, при этом проблема сохраняется. Действующая налоговая льгота на корпоративные выплаты при рождении ребенка - это точечная мера, которая пока не стимулирует компании массово вводить дополнительные меры поддержки при рождении детей, уверен он.</w:t>
      </w:r>
    </w:p>
    <w:p w14:paraId="77DD5352" w14:textId="77777777" w:rsidR="00C20D7A" w:rsidRPr="00172B5B" w:rsidRDefault="00C20D7A" w:rsidP="00C20D7A">
      <w:r w:rsidRPr="00172B5B">
        <w:t>Среди интересных направлений, по которым возможны синхронные действия работодателей и государства, - дополнительные дни отпуска при рождении детей (например, для отцов), возможность удаленной работы для родителей с детьми, инфраструктура на территории работодателей (детские сады или детские комнаты), ДМС для членов семьи, перечисляет Землянский.</w:t>
      </w:r>
    </w:p>
    <w:p w14:paraId="00D26D19" w14:textId="77777777" w:rsidR="00C20D7A" w:rsidRPr="00172B5B" w:rsidRDefault="00C20D7A" w:rsidP="00C20D7A">
      <w:r w:rsidRPr="00172B5B">
        <w:t xml:space="preserve">Поощрять компании расширять расходы на поддержку семей своих сотрудников необходимо - таким образом государство будет давать понять, что оно приветствует инвестиции в социальные корпоративные программы, считает старший научный сотрудник Международной лаборатории исследований населения и здоровья НИУ ВШЭ </w:t>
      </w:r>
      <w:r w:rsidRPr="00C20D7A">
        <w:rPr>
          <w:lang w:val="en-US"/>
        </w:rPr>
        <w:lastRenderedPageBreak/>
        <w:t>E</w:t>
      </w:r>
      <w:r w:rsidRPr="00172B5B">
        <w:t>лена Чурилова. Учитывая дефицит кадров в России, бизнес, конечно, привлекает теперь специалистов не только конкурентной зарплатой, но и условиями работы и наполнением социальных корпоративных программ. Для молодых соискателей, которые все больше стремятся к балансу между работой и личной жизнью, это особенно важно, отмечает она.</w:t>
      </w:r>
    </w:p>
    <w:p w14:paraId="23B018BF" w14:textId="77777777" w:rsidR="00C20D7A" w:rsidRPr="00172B5B" w:rsidRDefault="00C20D7A" w:rsidP="00C20D7A">
      <w:r w:rsidRPr="00172B5B">
        <w:t>При этом только поддержки работодателя недостаточно для решения о рождении ребенка: на вступление в брак и рождение детей влияют разные факторы, в том числе личные характеристики, предпочтения и ценности, говорит Чурилова. При этом поддержка работодателя может дать сотрудникам понимание, что им не придется выбирать между работой и заботой о детях "и тем более не придется увольняться или терять в заработке, чтобы иметь возможность участвовать в жизни детей", уверена эксперт.</w:t>
      </w:r>
    </w:p>
    <w:p w14:paraId="080E2257" w14:textId="35B227DD" w:rsidR="00C20D7A" w:rsidRPr="008A72AD" w:rsidRDefault="00C20D7A" w:rsidP="00C20D7A">
      <w:r w:rsidRPr="008A72AD">
        <w:t>Дарья Мосолкина</w:t>
      </w:r>
    </w:p>
    <w:p w14:paraId="6B6592EC" w14:textId="77777777" w:rsidR="00AD4EA0" w:rsidRPr="00BF5E04" w:rsidRDefault="00AD4EA0" w:rsidP="00AD4EA0">
      <w:pPr>
        <w:pStyle w:val="2"/>
      </w:pPr>
      <w:bookmarkStart w:id="143" w:name="_Toc99271711"/>
      <w:bookmarkStart w:id="144" w:name="_Toc99318657"/>
      <w:bookmarkStart w:id="145" w:name="_Toc222380401"/>
      <w:r w:rsidRPr="00BF5E04">
        <w:t>РИА Новости, 18.02.2026, Банк России составил портрет руководителя финансовой организации</w:t>
      </w:r>
      <w:bookmarkEnd w:id="145"/>
    </w:p>
    <w:p w14:paraId="32C25D4C" w14:textId="77777777" w:rsidR="00AD4EA0" w:rsidRPr="00BF5E04" w:rsidRDefault="00AD4EA0" w:rsidP="001A12F0">
      <w:pPr>
        <w:pStyle w:val="3"/>
      </w:pPr>
      <w:bookmarkStart w:id="146" w:name="_Toc222380402"/>
      <w:r w:rsidRPr="00BF5E04">
        <w:t>ЦБ РФ составил портрет типичного руководителя финансовой организации - им стал мужчина в возрасте 50 лет, с высшим образованием, занимающий свою должность около пяти лет, следует из материалов Банка России.</w:t>
      </w:r>
      <w:bookmarkEnd w:id="146"/>
    </w:p>
    <w:p w14:paraId="6582064C" w14:textId="453F46E6" w:rsidR="00AD4EA0" w:rsidRPr="00BF5E04" w:rsidRDefault="00401C97" w:rsidP="00AD4EA0">
      <w:r>
        <w:t>«</w:t>
      </w:r>
      <w:r w:rsidR="00AD4EA0" w:rsidRPr="00BF5E04">
        <w:t>Типичный глава финансовой организации - мужчина в возрасте 50 лет, с высшим образованием, занимающий свою должность в среднем пять лет. Банк России составил такой портрет на основе данных о руководителях (единоличном исполнительном органе, ЕИО) кредитных и страховых организаций, негосударственных пенсионных фондов, микрофинансовых и управляющих компаний</w:t>
      </w:r>
      <w:r>
        <w:t>»</w:t>
      </w:r>
      <w:r w:rsidR="00AD4EA0" w:rsidRPr="00BF5E04">
        <w:t>, - говорится в сообщении.</w:t>
      </w:r>
    </w:p>
    <w:p w14:paraId="35E6AE2E" w14:textId="48387BB5" w:rsidR="00111D7C" w:rsidRPr="00BF5E04" w:rsidRDefault="00AD4EA0" w:rsidP="00AD4EA0">
      <w:r w:rsidRPr="00BF5E04">
        <w:t>Отмечается, что две трети руководителей - это мужчины, но при этом доля женщин за последние годы немного выросла. Также у большинства ЕИО высшее экономическое образование, а меньше всего обладают образованием в сфере информационных технологий, и почти 20% глав компаний владеют акциями или долями возглавляемых ими организаций.</w:t>
      </w:r>
    </w:p>
    <w:p w14:paraId="6EA62C45" w14:textId="77777777" w:rsidR="005B095A" w:rsidRPr="00BF5E04" w:rsidRDefault="005B095A" w:rsidP="005B095A">
      <w:pPr>
        <w:pStyle w:val="2"/>
      </w:pPr>
      <w:bookmarkStart w:id="147" w:name="_Toc222380403"/>
      <w:r w:rsidRPr="00BF5E04">
        <w:t>ТАСС, 18.02.2026, Минфин заявил об интересе более ста компаний в участии рынка капитала</w:t>
      </w:r>
      <w:bookmarkEnd w:id="147"/>
    </w:p>
    <w:p w14:paraId="77FD45A1" w14:textId="1D32FC1D" w:rsidR="005B095A" w:rsidRPr="00BF5E04" w:rsidRDefault="005B095A" w:rsidP="001A12F0">
      <w:pPr>
        <w:pStyle w:val="3"/>
      </w:pPr>
      <w:bookmarkStart w:id="148" w:name="_Toc222380404"/>
      <w:r w:rsidRPr="00BF5E04">
        <w:t xml:space="preserve">Минфин наблюдает заинтересованность более 100 компаний в участии рынка капитала, однако их останавливает незнание и дороговизна таких процедур. Об этом сообщил заместитель директора департамента финансовой политики Минфина РФ Павел Шахлевич в ходе пленарной сессии форума </w:t>
      </w:r>
      <w:r w:rsidR="00401C97">
        <w:t>«</w:t>
      </w:r>
      <w:r w:rsidRPr="00BF5E04">
        <w:t>Будущее рынка акций</w:t>
      </w:r>
      <w:r w:rsidR="00401C97">
        <w:t>»</w:t>
      </w:r>
      <w:r w:rsidRPr="00BF5E04">
        <w:t>.</w:t>
      </w:r>
      <w:bookmarkEnd w:id="148"/>
    </w:p>
    <w:p w14:paraId="4A65275A" w14:textId="60F22F62" w:rsidR="005B095A" w:rsidRPr="00BF5E04" w:rsidRDefault="00401C97" w:rsidP="005B095A">
      <w:r>
        <w:t>«</w:t>
      </w:r>
      <w:r w:rsidR="005B095A" w:rsidRPr="00BF5E04">
        <w:t>Мы увидели заинтересованность более 100 компаний в участии рынка капитала. Но их останавливает во многом незнание, дороговизна</w:t>
      </w:r>
      <w:r>
        <w:t>»</w:t>
      </w:r>
      <w:r w:rsidR="005B095A" w:rsidRPr="00BF5E04">
        <w:t>, - сказал Шахлевич.</w:t>
      </w:r>
    </w:p>
    <w:p w14:paraId="25A376E5" w14:textId="77777777" w:rsidR="005B095A" w:rsidRPr="00BF5E04" w:rsidRDefault="005B095A" w:rsidP="005B095A">
      <w:r w:rsidRPr="00BF5E04">
        <w:t>По его словам, Минфин совместно с коллегами планирует провести форум для региональных компаний по повышению их квалификации в этой сфере.</w:t>
      </w:r>
    </w:p>
    <w:p w14:paraId="0B1508CF" w14:textId="77777777" w:rsidR="005B095A" w:rsidRPr="00BF5E04" w:rsidRDefault="005B095A" w:rsidP="005B095A">
      <w:r w:rsidRPr="00BF5E04">
        <w:lastRenderedPageBreak/>
        <w:t>Со стороны спроса ведомство фиксирует высокую активность: деньги есть как у граждан, так и у управляющих компаний и институциональных инвесторов.</w:t>
      </w:r>
    </w:p>
    <w:p w14:paraId="40FFA9F7" w14:textId="3DAF2EF8" w:rsidR="005B095A" w:rsidRPr="00BF5E04" w:rsidRDefault="005B095A" w:rsidP="005B095A">
      <w:r w:rsidRPr="00BF5E04">
        <w:t xml:space="preserve">Кроме того, Минфин ведет работу с негосударственными пенсионными фондами в рамках программы долгосрочных сбережений. </w:t>
      </w:r>
      <w:r w:rsidR="00401C97">
        <w:t>«</w:t>
      </w:r>
      <w:r w:rsidRPr="00BF5E04">
        <w:t>Мы будем их стимулировать к расширению стратегии, чтобы люди молодые могли принимать на себя более высокие риски осознанно</w:t>
      </w:r>
      <w:r w:rsidR="00401C97">
        <w:t>»</w:t>
      </w:r>
      <w:r w:rsidRPr="00BF5E04">
        <w:t>, - добавил замдиректора департамента.</w:t>
      </w:r>
    </w:p>
    <w:p w14:paraId="3195D542" w14:textId="105711B7" w:rsidR="00AD4EA0" w:rsidRPr="00BF5E04" w:rsidRDefault="005B095A" w:rsidP="005B095A">
      <w:hyperlink r:id="rId45" w:history="1">
        <w:r w:rsidRPr="00BF5E04">
          <w:rPr>
            <w:rStyle w:val="a3"/>
          </w:rPr>
          <w:t>https://tass.ru/ekonomika/26481131</w:t>
        </w:r>
      </w:hyperlink>
    </w:p>
    <w:p w14:paraId="60148BC7" w14:textId="77777777" w:rsidR="00921CCA" w:rsidRPr="00BF5E04" w:rsidRDefault="00921CCA" w:rsidP="00921CCA">
      <w:pPr>
        <w:pStyle w:val="2"/>
      </w:pPr>
      <w:bookmarkStart w:id="149" w:name="_Toc222380405"/>
      <w:r w:rsidRPr="00BF5E04">
        <w:t>Интерфакс, 18.02.2026, Правительство не поддержало законопроект о механизме выпуска ЦФА под залог ипотеки</w:t>
      </w:r>
      <w:bookmarkEnd w:id="149"/>
    </w:p>
    <w:p w14:paraId="0F4346B5" w14:textId="77777777" w:rsidR="00921CCA" w:rsidRPr="00BF5E04" w:rsidRDefault="00921CCA" w:rsidP="001A12F0">
      <w:pPr>
        <w:pStyle w:val="3"/>
      </w:pPr>
      <w:bookmarkStart w:id="150" w:name="_Toc222380406"/>
      <w:r w:rsidRPr="00BF5E04">
        <w:t>Правительство не поддержало депутатский законопроект № 1087365-8, который предлагал ввести специальный правовой механизм регистрации ипотеки в качестве обеспечения по цифровым финансовым активам (ЦФА).</w:t>
      </w:r>
      <w:bookmarkEnd w:id="150"/>
    </w:p>
    <w:p w14:paraId="22FC596F" w14:textId="77777777" w:rsidR="00921CCA" w:rsidRPr="00BF5E04" w:rsidRDefault="00921CCA" w:rsidP="00921CCA">
      <w:r w:rsidRPr="00BF5E04">
        <w:t>Законопроект в декабре 2025 года в Госдуму внесла группа депутатов и сенаторов во главе с председателем думского комитета по финансовому рынку Анатолием Аксаковым.</w:t>
      </w:r>
    </w:p>
    <w:p w14:paraId="45FFBC55" w14:textId="77777777" w:rsidR="00921CCA" w:rsidRPr="00BF5E04" w:rsidRDefault="00921CCA" w:rsidP="00921CCA">
      <w:r w:rsidRPr="00BF5E04">
        <w:t>Они предложили внести изменения в закон о ЦФА, установив особенности выпуска и обращения цифровых финансовых активов, удостоверяющих обязательства, исполнение которых обеспечено залогом недвижимого имущества. Оператор информационной системы, в которой происходит эмиссия таких ЦФА, присваивал бы каждому выпуску уникальный идентификационный номер. При регистрации ипотеки в Росреестре предполагалось указывать номер выпуска ЦФА, наименование оператора электронной площадки и запись о том, что залогодержателями являются владельцы соответствующих ЦФА.</w:t>
      </w:r>
    </w:p>
    <w:p w14:paraId="7EE8EDE1" w14:textId="77777777" w:rsidR="00921CCA" w:rsidRPr="00BF5E04" w:rsidRDefault="00921CCA" w:rsidP="00921CCA">
      <w:r w:rsidRPr="00BF5E04">
        <w:t>В отзыве правительства отмечается несоответствие положений законопроекта закону о государственной регистрации недвижимости в части представления копии договора залога, расхождений в терминологии в части наименования Единого государственного реестра недвижимости, а также отсутствия в решении о выпуске ЦФА сведений, необходимых для регистрации ипотеки.</w:t>
      </w:r>
    </w:p>
    <w:p w14:paraId="48FACB3F" w14:textId="77777777" w:rsidR="00921CCA" w:rsidRPr="00BF5E04" w:rsidRDefault="00921CCA" w:rsidP="00921CCA">
      <w:r w:rsidRPr="00BF5E04">
        <w:t>Помимо этого, правительство отмечает, что в законопроекте не определен орган, уполномоченный выдавать залогодателю документы о прекращении обеспеченных ипотекой обязательств, а возможность уступки прав на ЦФА с ипотечным обеспечением и порядок такой уступки также остались неурегулированными.</w:t>
      </w:r>
    </w:p>
    <w:p w14:paraId="58540920" w14:textId="314EEE66" w:rsidR="00921CCA" w:rsidRPr="00BF5E04" w:rsidRDefault="00401C97" w:rsidP="00921CCA">
      <w:r>
        <w:t>«</w:t>
      </w:r>
      <w:r w:rsidR="00921CCA" w:rsidRPr="00BF5E04">
        <w:t xml:space="preserve">Предлагаемое изменение порядка государственной регистрации ипотеки потребует внесения корреспондирующих изменений в закон об ипотеке и в федеральный закон </w:t>
      </w:r>
      <w:r>
        <w:t>«</w:t>
      </w:r>
      <w:r w:rsidR="00921CCA" w:rsidRPr="00BF5E04">
        <w:t>О государственной регистрации недвижимости</w:t>
      </w:r>
      <w:r>
        <w:t>»</w:t>
      </w:r>
      <w:r w:rsidR="00921CCA" w:rsidRPr="00BF5E04">
        <w:t>, однако соответствующие положения в законопроекте отсутствуют</w:t>
      </w:r>
      <w:r>
        <w:t>»</w:t>
      </w:r>
      <w:r w:rsidR="00921CCA" w:rsidRPr="00BF5E04">
        <w:t>, - говорится в отзыве.</w:t>
      </w:r>
    </w:p>
    <w:p w14:paraId="2AEEF747" w14:textId="2252310D" w:rsidR="00921CCA" w:rsidRPr="00BF5E04" w:rsidRDefault="00921CCA" w:rsidP="00921CCA">
      <w:r w:rsidRPr="00BF5E04">
        <w:t xml:space="preserve">Ранее правовое управление Госдумы также представило ряд замечаний к документу. В частности, юристы парламента обратили внимание на несогласованность момента заключения договора залога и государственной регистрации ипотеки: по тексту законопроекта договор залога считается заключенным с момента зачисления ЦФА первому обладателю, тогда как регистрация ипотеки должна проводиться раньше, после подписания решения о выпуске. Управление также указало на техническое противоречие </w:t>
      </w:r>
      <w:r w:rsidRPr="00BF5E04">
        <w:lastRenderedPageBreak/>
        <w:t xml:space="preserve">в норме о регистрационной записи об ипотеке, где упоминается </w:t>
      </w:r>
      <w:r w:rsidR="00401C97">
        <w:t>«</w:t>
      </w:r>
      <w:r w:rsidRPr="00BF5E04">
        <w:t>первоначальный залогодержатель</w:t>
      </w:r>
      <w:r w:rsidR="00401C97">
        <w:t>»</w:t>
      </w:r>
      <w:r w:rsidRPr="00BF5E04">
        <w:t xml:space="preserve"> в единственном числе, хотя речь идет о множестве владельцев ЦФА. Правовое управление рекомендовало направить законопроект для получения заключения в Банк России.</w:t>
      </w:r>
    </w:p>
    <w:p w14:paraId="0FD2D9E6" w14:textId="367919A1" w:rsidR="00921CCA" w:rsidRDefault="00921CCA" w:rsidP="00921CCA">
      <w:hyperlink r:id="rId46" w:history="1">
        <w:r w:rsidRPr="00BF5E04">
          <w:rPr>
            <w:rStyle w:val="a3"/>
          </w:rPr>
          <w:t>https://www.interfax.ru/russia/1073474</w:t>
        </w:r>
      </w:hyperlink>
      <w:r w:rsidRPr="00BF5E04">
        <w:t xml:space="preserve"> </w:t>
      </w:r>
    </w:p>
    <w:p w14:paraId="5EC774AF" w14:textId="77777777" w:rsidR="00134151" w:rsidRDefault="00134151" w:rsidP="00134151">
      <w:pPr>
        <w:pStyle w:val="2"/>
      </w:pPr>
      <w:bookmarkStart w:id="151" w:name="_Toc222380407"/>
      <w:r>
        <w:t>Интерфакс, 18.02.2026, Минфин 18 февраля разместил рекордный за последние три месяца объем ОФЗ</w:t>
      </w:r>
      <w:bookmarkEnd w:id="151"/>
    </w:p>
    <w:p w14:paraId="24D43FF5" w14:textId="77777777" w:rsidR="00134151" w:rsidRDefault="00134151" w:rsidP="001A12F0">
      <w:pPr>
        <w:pStyle w:val="3"/>
      </w:pPr>
      <w:bookmarkStart w:id="152" w:name="_Toc222380408"/>
      <w:r>
        <w:t>Министерство финансов России 18 февраля разместило на двух запланированных первичных аукционах рекордный за последние три месяца (с 12 ноября 2025 года) объем облигаций федерального займа - на сумму 327,473 млрд рублей по номиналу.</w:t>
      </w:r>
      <w:bookmarkEnd w:id="152"/>
    </w:p>
    <w:p w14:paraId="7DA6606F" w14:textId="77777777" w:rsidR="00134151" w:rsidRDefault="00134151" w:rsidP="00134151">
      <w:r>
        <w:t>В результате общий объем размещения гособлигаций с начала 2026 года достиг 756,68 млрд рублей по номиналу, что составляет 63% от квартального плана в размере 1,2 трлн рублей. Таким образом, для достижения запланированного уровня размещения за оставшиеся до конца первого квартала 5 аукционных дней Минфину необходимо продать ОФЗ на общую сумму 443,32 млрд рублей по номиналу (в среднем по 88,66 млрд рублей за день), что является вполне выполнимой для министерства задачей.</w:t>
      </w:r>
    </w:p>
    <w:p w14:paraId="72CE78A2" w14:textId="77777777" w:rsidR="00134151" w:rsidRDefault="00134151" w:rsidP="00134151">
      <w:r>
        <w:t>В ходе первого аукциона, состоявшегося 18 февраля, Минфин разместил рекордный для одного аукциона объем облигаций федерального займа с постоянным купонным доходом (ОФЗ-ПД) - на сумму 255,197 млрд рублей по номиналу. Ранее все большие объемы размещений на первичных аукционах происходили за счет продажи облигаций с переменным купоном (ОФЗ-ПК).</w:t>
      </w:r>
    </w:p>
    <w:p w14:paraId="75F6D7DC" w14:textId="77777777" w:rsidR="00134151" w:rsidRDefault="00134151" w:rsidP="00134151">
      <w:r>
        <w:t>Общий спрос на аукционе по размещению ОФЗ-ПД серии 26254 с погашением 3 октября 2040 года составил 289,093 млрд рублей. Выручка от аукциона - 247,016 млрд рублей. Размещение проводилось в пределах доступного остатка. Средневзвешенная цена на аукционе составила 92,5204% от номинала, что соответствует доходности 14,73% годовых. Цена отсечения была установлена на уровне 92,368% от номинала, что соответствует доходности 14,75% годовых.</w:t>
      </w:r>
    </w:p>
    <w:p w14:paraId="19C3FA40" w14:textId="77777777" w:rsidR="00134151" w:rsidRDefault="00134151" w:rsidP="00134151">
      <w:r>
        <w:t>На втором аукционе, где размещались ОФЗ-ПД серии 26245 с погашением 26 сентября 2035 года, были проданы бумаги на сумму 72,276 млрд рублей по номиналу при спросе 118,274 млрд рублей. Выручка от аукциона - 67,101 млрд рублей. Размещение проводилось в пределах доступного остатка. Средневзвешенная цена на аукционе составила 88,4338% от номинала, что соответствует доходности 14,75% годовых. Цена отсечения была установлена на уровне 88,401% от номинала, что соответствует доходности 14,75% годовых.</w:t>
      </w:r>
    </w:p>
    <w:p w14:paraId="5521C918" w14:textId="0FBCFD7B" w:rsidR="00134151" w:rsidRDefault="00134151" w:rsidP="00134151">
      <w:hyperlink r:id="rId47" w:history="1">
        <w:r w:rsidRPr="0084065F">
          <w:rPr>
            <w:rStyle w:val="a3"/>
          </w:rPr>
          <w:t>https://www.interfax.ru/business/1073483</w:t>
        </w:r>
      </w:hyperlink>
      <w:r>
        <w:t xml:space="preserve"> </w:t>
      </w:r>
    </w:p>
    <w:p w14:paraId="045A56DD" w14:textId="77777777" w:rsidR="00134151" w:rsidRDefault="00134151" w:rsidP="00134151">
      <w:pPr>
        <w:pStyle w:val="2"/>
      </w:pPr>
      <w:bookmarkStart w:id="153" w:name="_Toc222380409"/>
      <w:r>
        <w:lastRenderedPageBreak/>
        <w:t>ТАСС, 18.02.2026, Набиуллина назвала абсолютно устойчивой банковскую систему России</w:t>
      </w:r>
      <w:bookmarkEnd w:id="153"/>
    </w:p>
    <w:p w14:paraId="18C3221F" w14:textId="77777777" w:rsidR="00134151" w:rsidRDefault="00134151" w:rsidP="001A12F0">
      <w:pPr>
        <w:pStyle w:val="3"/>
      </w:pPr>
      <w:bookmarkStart w:id="154" w:name="_Toc222380410"/>
      <w:r>
        <w:t>Кредитные организации имеют достаточно капитала для наращивания кредитования экономики, банковская система абсолютно устойчива. Об этом заявила глава Банка России Эльвира Набиуллина на совещании с президентом РФ Владимиром Путиным.</w:t>
      </w:r>
      <w:bookmarkEnd w:id="154"/>
    </w:p>
    <w:p w14:paraId="1100BDD4" w14:textId="5E9909F4" w:rsidR="00134151" w:rsidRDefault="00401C97" w:rsidP="00134151">
      <w:r>
        <w:t>«</w:t>
      </w:r>
      <w:r w:rsidR="00134151">
        <w:t>У банков - мы это отслеживаем - достаточно капитала и чтобы реструктурировать кредиты, и чтобы наращивать дополнительно кредиты для экономики. Это важно. И мы смотрим и за резервированием, за достаточностью капитала. Банковская система абсолютно устойчива, все риски учтены</w:t>
      </w:r>
      <w:r>
        <w:t>»</w:t>
      </w:r>
      <w:r w:rsidR="00134151">
        <w:t>, - сказала она.</w:t>
      </w:r>
    </w:p>
    <w:p w14:paraId="647F3B31" w14:textId="1235C1E9" w:rsidR="00134151" w:rsidRDefault="00134151" w:rsidP="00134151">
      <w:r>
        <w:t xml:space="preserve">Набиуллина уточнила, что банки в январе этого года, по предварительным данным, предоставили кредитные каникулы для бизнеса на сумму 10 млрд рублей. По ее словам, за четвертый квартал прошлого года банки в рамках закона о кредитных каникулах, а также по своим программам уже реструктуризировали бизнесу кредиты на 0,5 трлн рублей. </w:t>
      </w:r>
      <w:r w:rsidR="00401C97">
        <w:t>«</w:t>
      </w:r>
      <w:r>
        <w:t>И мы ориентируем банки, чтобы они шли навстречу бизнесу</w:t>
      </w:r>
      <w:r w:rsidR="00401C97">
        <w:t>»</w:t>
      </w:r>
      <w:r>
        <w:t>, - подчеркнула глава ЦБ.</w:t>
      </w:r>
    </w:p>
    <w:p w14:paraId="000EA417" w14:textId="77777777" w:rsidR="00134151" w:rsidRDefault="00134151" w:rsidP="00134151">
      <w:r>
        <w:t>С 1 октября 2025 года малый и средний бизнес может оформить кредитные каникулы. Максимальная сумма кредита или займа, по которым можно взять каникулы, зависит от размера бизнеса: до 10 млн рублей - для самозанятых, до 60 млн рублей - для микропредприятий, до 400 млн рублей - для малых компаний, до 1 млрд рублей - для средних.</w:t>
      </w:r>
    </w:p>
    <w:p w14:paraId="589E01DE" w14:textId="1C1BA9BF" w:rsidR="00134151" w:rsidRPr="00BF5E04" w:rsidRDefault="00134151" w:rsidP="00134151">
      <w:hyperlink r:id="rId48" w:history="1">
        <w:r w:rsidRPr="0084065F">
          <w:rPr>
            <w:rStyle w:val="a3"/>
          </w:rPr>
          <w:t>https://tass.ru/ekonomika/26488923</w:t>
        </w:r>
      </w:hyperlink>
      <w:r>
        <w:t xml:space="preserve"> </w:t>
      </w:r>
    </w:p>
    <w:p w14:paraId="5C0DEABC" w14:textId="77777777" w:rsidR="00BF7A69" w:rsidRPr="00BF5E04" w:rsidRDefault="00BF7A69" w:rsidP="00BF7A69">
      <w:pPr>
        <w:pStyle w:val="2"/>
      </w:pPr>
      <w:bookmarkStart w:id="155" w:name="_Toc222380411"/>
      <w:r w:rsidRPr="00BF5E04">
        <w:t>Интерфакс, 18.02.2026, Костин призвал ускорить легализацию рынка криптовалют в РФ</w:t>
      </w:r>
      <w:bookmarkEnd w:id="155"/>
    </w:p>
    <w:p w14:paraId="1CF314CD" w14:textId="019F0BD1" w:rsidR="00BF7A69" w:rsidRPr="00BF5E04" w:rsidRDefault="00BF7A69" w:rsidP="001A12F0">
      <w:pPr>
        <w:pStyle w:val="3"/>
      </w:pPr>
      <w:bookmarkStart w:id="156" w:name="_Toc222380412"/>
      <w:r w:rsidRPr="00BF5E04">
        <w:t xml:space="preserve">Необходимо ускорить легализацию рынка криптовалют в России, в том числе для упрощения проведения внешнеторговых расчетов, заявил глава ВТБ Андрей Костин в ходе форума </w:t>
      </w:r>
      <w:r w:rsidR="00401C97">
        <w:t>«</w:t>
      </w:r>
      <w:r w:rsidRPr="00BF5E04">
        <w:t>Кибербезопасность в финансах</w:t>
      </w:r>
      <w:r w:rsidR="00401C97">
        <w:t>»</w:t>
      </w:r>
      <w:r w:rsidRPr="00BF5E04">
        <w:t>.</w:t>
      </w:r>
      <w:bookmarkEnd w:id="156"/>
    </w:p>
    <w:p w14:paraId="3471C288" w14:textId="17B0EB02" w:rsidR="00BF7A69" w:rsidRPr="00BF5E04" w:rsidRDefault="00401C97" w:rsidP="00BF7A69">
      <w:r>
        <w:t>«</w:t>
      </w:r>
      <w:r w:rsidR="00BF7A69" w:rsidRPr="00BF5E04">
        <w:t>Нужно как можно быстрее обелять (трансграничные - ИФ) расчеты в этой валюте. У нас очень большое количество клиентов, даже крупных экспортеров, просят: дайте нам белый способ расчетов в криптовалюте. Нам нужно создавать биржи, всё равно от криптовалют не уйти, их нужно вводить в оборот как можно быстрее</w:t>
      </w:r>
      <w:r>
        <w:t>»</w:t>
      </w:r>
      <w:r w:rsidR="00BF7A69" w:rsidRPr="00BF5E04">
        <w:t>, - сказал Костин.</w:t>
      </w:r>
    </w:p>
    <w:p w14:paraId="0B40AEE1" w14:textId="77777777" w:rsidR="00BF7A69" w:rsidRPr="00BF5E04" w:rsidRDefault="00BF7A69" w:rsidP="00BF7A69">
      <w:r w:rsidRPr="00BF5E04">
        <w:t>С 1 сентября 2024 года вступил в силу закон, который в рамках экспериментального правового режима (ЭПР) под контролем ЦБ позволяет участникам ВЭД использовать криптовалюту в качестве средства платежа во внешнеторговой деятельности. ЭПР используется крайне ограниченно, многие его участники не были готовы инвестировать столько, чтобы обеспечить все его требования, либо просто не могли этого сделать, заявлял ранее первый зампред ЦБ Владимир Чистюхин.</w:t>
      </w:r>
    </w:p>
    <w:p w14:paraId="4B81AE8D" w14:textId="77777777" w:rsidR="00BF7A69" w:rsidRPr="00BF5E04" w:rsidRDefault="00BF7A69" w:rsidP="00BF7A69">
      <w:r w:rsidRPr="00BF5E04">
        <w:t xml:space="preserve">ЦБ в конце декабря 2025 года сообщил, что направил в правительство концепцию регулирования криптовалют в России. Она предполагает, что цифровые валюты и стейблкойны признаются валютными ценностями, их можно покупать и продавать, но ими нельзя расплачиваться внутри страны. Согласно концепции, совершать операции с </w:t>
      </w:r>
      <w:r w:rsidRPr="00BF5E04">
        <w:lastRenderedPageBreak/>
        <w:t>криптовалютами можно будет возможно через текущую инфраструктуру: биржи, брокеры и доверительные управляющие смогут действовать на основании имеющихся лицензий. Отдельные требования будут установлены только для специальных депозитариев и криптообменников.</w:t>
      </w:r>
    </w:p>
    <w:p w14:paraId="491235A2" w14:textId="77777777" w:rsidR="00BF7A69" w:rsidRPr="00BF5E04" w:rsidRDefault="00BF7A69" w:rsidP="00BF7A69">
      <w:r w:rsidRPr="00BF5E04">
        <w:t>Квалифицированные инвесторы смогут приобретать криптоактивы без ограничений, а для неквалифицированных инвесторов покупка будет разрешена в пределах 300 тыс. руб. в год через одного посредника.</w:t>
      </w:r>
    </w:p>
    <w:p w14:paraId="5AA05C98" w14:textId="77777777" w:rsidR="00BF7A69" w:rsidRPr="00BF5E04" w:rsidRDefault="00BF7A69" w:rsidP="00BF7A69">
      <w:r w:rsidRPr="00BF5E04">
        <w:t>Ожидается, что законопроект будет внесен в Госдуму в марте и принят в весеннюю сессию, сообщил ранее замминистра финансов Иван Чебесков.</w:t>
      </w:r>
    </w:p>
    <w:p w14:paraId="550D1DC4" w14:textId="77777777" w:rsidR="00BF7A69" w:rsidRPr="00BF5E04" w:rsidRDefault="00BF7A69" w:rsidP="00BF7A69">
      <w:r w:rsidRPr="00BF5E04">
        <w:t>Ответственность за нелегальную деятельность посредников на рынке криптовалют по аналогии с ответственностью за нелегальную банковскую деятельность предлагается ввести с 1 июля 2027 года, отмечал ЦБ.</w:t>
      </w:r>
    </w:p>
    <w:p w14:paraId="6F74F289" w14:textId="4CDE52C8" w:rsidR="005B095A" w:rsidRPr="00BF5E04" w:rsidRDefault="00BF7A69" w:rsidP="00BF7A69">
      <w:hyperlink r:id="rId49" w:history="1">
        <w:r w:rsidRPr="00BF5E04">
          <w:rPr>
            <w:rStyle w:val="a3"/>
          </w:rPr>
          <w:t>https://www.interfax.ru/russia/1073458</w:t>
        </w:r>
      </w:hyperlink>
    </w:p>
    <w:p w14:paraId="639ABB04" w14:textId="77777777" w:rsidR="00BF7A69" w:rsidRPr="00BF5E04" w:rsidRDefault="00BF7A69" w:rsidP="00BF7A69"/>
    <w:p w14:paraId="1648AE75" w14:textId="77777777" w:rsidR="00111D7C" w:rsidRPr="00BF5E04" w:rsidRDefault="00111D7C" w:rsidP="00111D7C">
      <w:pPr>
        <w:pStyle w:val="251"/>
      </w:pPr>
      <w:bookmarkStart w:id="157" w:name="_Toc99271712"/>
      <w:bookmarkStart w:id="158" w:name="_Toc99318658"/>
      <w:bookmarkStart w:id="159" w:name="_Toc165991078"/>
      <w:bookmarkStart w:id="160" w:name="_Toc222380413"/>
      <w:bookmarkEnd w:id="143"/>
      <w:bookmarkEnd w:id="144"/>
      <w:r w:rsidRPr="00BF5E04">
        <w:lastRenderedPageBreak/>
        <w:t>НОВОСТИ ЗАРУБЕЖНЫХ ПЕНСИОННЫХ СИСТЕМ</w:t>
      </w:r>
      <w:bookmarkEnd w:id="157"/>
      <w:bookmarkEnd w:id="158"/>
      <w:bookmarkEnd w:id="159"/>
      <w:bookmarkEnd w:id="160"/>
    </w:p>
    <w:p w14:paraId="7D59896E" w14:textId="77777777" w:rsidR="00111D7C" w:rsidRPr="00BF5E04" w:rsidRDefault="00111D7C" w:rsidP="00111D7C">
      <w:pPr>
        <w:pStyle w:val="10"/>
      </w:pPr>
      <w:bookmarkStart w:id="161" w:name="_Toc99271713"/>
      <w:bookmarkStart w:id="162" w:name="_Toc99318659"/>
      <w:bookmarkStart w:id="163" w:name="_Toc165991079"/>
      <w:bookmarkStart w:id="164" w:name="_Toc222380414"/>
      <w:r w:rsidRPr="00BF5E04">
        <w:t>Новости пенсионной отрасли стран ближнего зарубежья</w:t>
      </w:r>
      <w:bookmarkEnd w:id="161"/>
      <w:bookmarkEnd w:id="162"/>
      <w:bookmarkEnd w:id="163"/>
      <w:bookmarkEnd w:id="164"/>
    </w:p>
    <w:p w14:paraId="3C56D224" w14:textId="77777777" w:rsidR="008333AD" w:rsidRPr="00BF5E04" w:rsidRDefault="008333AD" w:rsidP="008333AD">
      <w:pPr>
        <w:pStyle w:val="2"/>
      </w:pPr>
      <w:bookmarkStart w:id="165" w:name="_Toc222380415"/>
      <w:r w:rsidRPr="00BF5E04">
        <w:t>LS, 18.02.2026, На старость может не хватить: изымать досрочно деньги из ЕНПФ станет непросто</w:t>
      </w:r>
      <w:bookmarkEnd w:id="165"/>
    </w:p>
    <w:p w14:paraId="4E44C504" w14:textId="6B845E38" w:rsidR="008333AD" w:rsidRPr="00BF5E04" w:rsidRDefault="008333AD" w:rsidP="001A12F0">
      <w:pPr>
        <w:pStyle w:val="3"/>
      </w:pPr>
      <w:bookmarkStart w:id="166" w:name="_Toc222380416"/>
      <w:r w:rsidRPr="00BF5E04">
        <w:t>В Казахстане пересматривают расчеты порогов минимальной достаточности (ПМД) по пенсионным излишкам. Об этом в ответе на запрос LS сообщили в Нацбанке. Согласно информации, действующие пороги и методы их определения не полностью выполняют свою основную задачу в долгосрочной перспективе.</w:t>
      </w:r>
      <w:bookmarkEnd w:id="166"/>
    </w:p>
    <w:p w14:paraId="3F470438" w14:textId="77777777" w:rsidR="008333AD" w:rsidRPr="00BF5E04" w:rsidRDefault="008333AD" w:rsidP="008333AD">
      <w:r w:rsidRPr="00BF5E04">
        <w:t>По данным Нацбанка, снижение накоплений на старость может привести к ухудшению уровня жизни пожилых людей.</w:t>
      </w:r>
    </w:p>
    <w:p w14:paraId="2279A30D" w14:textId="59FBA3C8" w:rsidR="008333AD" w:rsidRPr="00BF5E04" w:rsidRDefault="00401C97" w:rsidP="008333AD">
      <w:r>
        <w:t>«</w:t>
      </w:r>
      <w:r w:rsidR="008333AD" w:rsidRPr="00BF5E04">
        <w:t>В такой ситуации пенсионные выплаты могут перестать покрывать базовые потребности (лекарства, качественное питание, ЖКХ и так далее). В целях снижения рисков, связанных с недостаточным уровнем накоплений, а также для повышения финансовой устойчивости пенсионной системы возникает необходимость пересмотра подходов к расчету ПМД</w:t>
      </w:r>
      <w:r>
        <w:t>»</w:t>
      </w:r>
      <w:r w:rsidR="008333AD" w:rsidRPr="00BF5E04">
        <w:t>, – пояснили в главном банке страны.</w:t>
      </w:r>
    </w:p>
    <w:p w14:paraId="2F70E0DF" w14:textId="77777777" w:rsidR="008333AD" w:rsidRPr="00BF5E04" w:rsidRDefault="008333AD" w:rsidP="008333AD">
      <w:r w:rsidRPr="00BF5E04">
        <w:t>Отмечается, что сейчас по данному вопросу ведется активное совместное обсуждение между правительством, Минтруда, Нацбанком, ЕНПФ и другими заинтересованными сторонами с учетом соответствующих актуарных расчетов.</w:t>
      </w:r>
    </w:p>
    <w:p w14:paraId="186F98DD" w14:textId="77777777" w:rsidR="008333AD" w:rsidRPr="00BF5E04" w:rsidRDefault="008333AD" w:rsidP="008333AD">
      <w:r w:rsidRPr="00BF5E04">
        <w:t xml:space="preserve">По официальным данным, с февраля 2021 года объем досрочных изъятий денег на старость составил порядка 5,7 трлн тенге. </w:t>
      </w:r>
    </w:p>
    <w:p w14:paraId="0C482590" w14:textId="77777777" w:rsidR="008333AD" w:rsidRPr="00BF5E04" w:rsidRDefault="008333AD" w:rsidP="008333AD">
      <w:r w:rsidRPr="00BF5E04">
        <w:t>Напомним, что в 2026 году пороги минимальной достаточности повысились на 10%.</w:t>
      </w:r>
    </w:p>
    <w:p w14:paraId="46D5BF88" w14:textId="77777777" w:rsidR="008333AD" w:rsidRPr="00BF5E04" w:rsidRDefault="008333AD" w:rsidP="008333AD">
      <w:r w:rsidRPr="00BF5E04">
        <w:t>10 февраля на заседании правительства глава Нацбанка Тимур Сулейменов заявил о необходимости повышения коэффициент замещения и ужесточении подходов к порогам досрочных изъятий.</w:t>
      </w:r>
    </w:p>
    <w:p w14:paraId="1121A36B" w14:textId="77777777" w:rsidR="008333AD" w:rsidRPr="00BF5E04" w:rsidRDefault="008333AD" w:rsidP="008333AD">
      <w:r w:rsidRPr="00BF5E04">
        <w:t xml:space="preserve">Ранее в Казахстане предложили полностью запретить досрочные изъятия из ЕНПФ. По мнению советника председателя правления Halyk Finance Мурата Темирханова, это может разрушить накопительную пенсионную систему. </w:t>
      </w:r>
    </w:p>
    <w:p w14:paraId="5286FFA2" w14:textId="77777777" w:rsidR="008333AD" w:rsidRPr="00BF5E04" w:rsidRDefault="008333AD" w:rsidP="008333AD">
      <w:r w:rsidRPr="00BF5E04">
        <w:t>В прошлом году пенсионные излишки запретили использовать на стоматологию и офтальмологию. По данным АФМ, казахстанцы вывели из ЕНФП 200 млрд тенге на фиктивное лечение зубов.</w:t>
      </w:r>
    </w:p>
    <w:p w14:paraId="2009D9CC" w14:textId="77777777" w:rsidR="008333AD" w:rsidRPr="00BF5E04" w:rsidRDefault="008333AD" w:rsidP="008333AD">
      <w:r w:rsidRPr="00BF5E04">
        <w:t>Между тем в АФК считают, что рост изъятий из ЕНПФ ускоряет повышение цен на жилье.</w:t>
      </w:r>
    </w:p>
    <w:p w14:paraId="71FD74AC" w14:textId="4914A128" w:rsidR="008333AD" w:rsidRPr="00BF5E04" w:rsidRDefault="008333AD" w:rsidP="008333AD">
      <w:hyperlink r:id="rId50" w:history="1">
        <w:r w:rsidRPr="00BF5E04">
          <w:rPr>
            <w:rStyle w:val="a3"/>
          </w:rPr>
          <w:t>https://lsm.kz/porogi-po-pensionnym-izlishkam-nazvali-nedostatochnymi</w:t>
        </w:r>
      </w:hyperlink>
      <w:r w:rsidRPr="00BF5E04">
        <w:t xml:space="preserve"> </w:t>
      </w:r>
    </w:p>
    <w:p w14:paraId="38CC3EEB" w14:textId="77777777" w:rsidR="00584E4A" w:rsidRPr="00BF5E04" w:rsidRDefault="00584E4A" w:rsidP="00584E4A">
      <w:pPr>
        <w:pStyle w:val="2"/>
      </w:pPr>
      <w:bookmarkStart w:id="167" w:name="_Toc222380417"/>
      <w:r w:rsidRPr="00BF5E04">
        <w:lastRenderedPageBreak/>
        <w:t>Курсив, 18.02.2026, Пороги для изъятия пенсионных могут увеличить на 10–20%</w:t>
      </w:r>
      <w:bookmarkEnd w:id="167"/>
    </w:p>
    <w:p w14:paraId="41846C2E" w14:textId="77777777" w:rsidR="00584E4A" w:rsidRPr="00BF5E04" w:rsidRDefault="00584E4A" w:rsidP="001A12F0">
      <w:pPr>
        <w:pStyle w:val="3"/>
      </w:pPr>
      <w:bookmarkStart w:id="168" w:name="_Toc222380418"/>
      <w:r w:rsidRPr="00BF5E04">
        <w:t>Власти не будут резко ужесточать правила снятия пенсионных накоплений в Казахстане, считает финансист Qazaq Expert Club Венера Жаналина. По ее мнению, корректировка порогов минимальной достаточности, скорее всего, будет проходить поэтапно.</w:t>
      </w:r>
      <w:bookmarkEnd w:id="168"/>
    </w:p>
    <w:p w14:paraId="1036E8F2" w14:textId="77777777" w:rsidR="00584E4A" w:rsidRPr="00BF5E04" w:rsidRDefault="00584E4A" w:rsidP="00584E4A">
      <w:r w:rsidRPr="00BF5E04">
        <w:t xml:space="preserve">Напомним, ранее глава Нацбанка Тимур Сулейменов сообщил, что порог достаточности для изъятий пенсионных в Казахстане могут снова повысить. </w:t>
      </w:r>
    </w:p>
    <w:p w14:paraId="2593434A" w14:textId="46D3C11C" w:rsidR="00584E4A" w:rsidRPr="00BF5E04" w:rsidRDefault="00401C97" w:rsidP="00584E4A">
      <w:r>
        <w:t>«</w:t>
      </w:r>
      <w:r w:rsidR="00584E4A" w:rsidRPr="00BF5E04">
        <w:t>Вместе с тем для обеспечения достойного уровня пенсионных выплат в будущем необходимо повысить коэффициент замещения дохода. Это требует ужесточения порога досрочных изъятий пенсионных</w:t>
      </w:r>
      <w:r>
        <w:t>»</w:t>
      </w:r>
      <w:r w:rsidR="00584E4A" w:rsidRPr="00BF5E04">
        <w:t>, – сказал он.</w:t>
      </w:r>
    </w:p>
    <w:p w14:paraId="1D892A47" w14:textId="77777777" w:rsidR="00584E4A" w:rsidRPr="00BF5E04" w:rsidRDefault="00584E4A" w:rsidP="00584E4A">
      <w:r w:rsidRPr="00BF5E04">
        <w:t>Главной целью планируемых изменений должно стать приведение системы в соответствие с целевым коэффициентом замещения дохода.</w:t>
      </w:r>
    </w:p>
    <w:p w14:paraId="3227A8B5" w14:textId="04987B5F" w:rsidR="00584E4A" w:rsidRPr="00BF5E04" w:rsidRDefault="00584E4A" w:rsidP="00584E4A">
      <w:r w:rsidRPr="00BF5E04">
        <w:t xml:space="preserve">Коэффициент замещения дохода – это показатель, который показывает, какую часть прежней зарплаты человек получает после выхода на пенсию. Проще говоря, он отражает, насколько пенсия </w:t>
      </w:r>
      <w:r w:rsidR="00401C97">
        <w:t>«</w:t>
      </w:r>
      <w:r w:rsidRPr="00BF5E04">
        <w:t>заменяет</w:t>
      </w:r>
      <w:r w:rsidR="00401C97">
        <w:t>»</w:t>
      </w:r>
      <w:r w:rsidRPr="00BF5E04">
        <w:t xml:space="preserve"> прежний доход. Международная организация труда считает достаточным уровень не ниже 40% – то есть пенсия должна составлять минимум 40% от прежнего заработка.</w:t>
      </w:r>
    </w:p>
    <w:p w14:paraId="367FE319" w14:textId="7A317FAC" w:rsidR="00584E4A" w:rsidRPr="00BF5E04" w:rsidRDefault="00401C97" w:rsidP="00584E4A">
      <w:r>
        <w:t>«</w:t>
      </w:r>
      <w:r w:rsidR="00584E4A" w:rsidRPr="00BF5E04">
        <w:t>Резкого повышения ожидать не стоит. Скорее всего, корректировка будет поэтапной и дифференцированной по возрастным группам. Повышение может составить ориентировочно 10-20% относительно действующих порогов</w:t>
      </w:r>
      <w:r>
        <w:t>»</w:t>
      </w:r>
      <w:r w:rsidR="00584E4A" w:rsidRPr="00BF5E04">
        <w:t xml:space="preserve">, – заявила </w:t>
      </w:r>
      <w:r>
        <w:t>«</w:t>
      </w:r>
      <w:r w:rsidR="00584E4A" w:rsidRPr="00BF5E04">
        <w:t>Курсиву</w:t>
      </w:r>
      <w:r>
        <w:t>»</w:t>
      </w:r>
      <w:r w:rsidR="00584E4A" w:rsidRPr="00BF5E04">
        <w:t xml:space="preserve"> Венера Жаналина.</w:t>
      </w:r>
    </w:p>
    <w:p w14:paraId="63380A86" w14:textId="77777777" w:rsidR="00584E4A" w:rsidRPr="00BF5E04" w:rsidRDefault="00584E4A" w:rsidP="00584E4A">
      <w:r w:rsidRPr="00BF5E04">
        <w:t xml:space="preserve">Также Жаналина считает, что наиболее чувствительными к изменениям станут вкладчики в возрасте от 30 до 45 лет. У них самый длинный горизонт накопления. Следовательно, любые изъятия средств в этом возрасте приводят к максимальным потерям в будущем из-за упущенного инвестиционного дохода. </w:t>
      </w:r>
    </w:p>
    <w:p w14:paraId="77F8ABB7" w14:textId="67E1C2FB" w:rsidR="00584E4A" w:rsidRPr="00BF5E04" w:rsidRDefault="00584E4A" w:rsidP="00584E4A">
      <w:r w:rsidRPr="00BF5E04">
        <w:t xml:space="preserve">Ранее </w:t>
      </w:r>
      <w:r w:rsidR="00401C97">
        <w:t>«</w:t>
      </w:r>
      <w:r w:rsidRPr="00BF5E04">
        <w:t>Курсив</w:t>
      </w:r>
      <w:r w:rsidR="00401C97">
        <w:t>»</w:t>
      </w:r>
      <w:r w:rsidRPr="00BF5E04">
        <w:t xml:space="preserve"> писал, что десятки тысяч казахстанцев лишились шанса снять свои пенсионные из-за предыдущего повышения порогов достаточности в среднем на 10%. </w:t>
      </w:r>
    </w:p>
    <w:p w14:paraId="45B0207F" w14:textId="3919A261" w:rsidR="00584E4A" w:rsidRPr="00BF5E04" w:rsidRDefault="00584E4A" w:rsidP="00584E4A">
      <w:hyperlink r:id="rId51" w:history="1">
        <w:r w:rsidRPr="00BF5E04">
          <w:rPr>
            <w:rStyle w:val="a3"/>
          </w:rPr>
          <w:t>https://kz.kursiv.media/2026-02-18/fvfv-eksperty-prognoziruyut-poetapnyy-rost-porogov-pensionnyh-izyatiy-na-10-20/</w:t>
        </w:r>
      </w:hyperlink>
      <w:r w:rsidRPr="00BF5E04">
        <w:t xml:space="preserve"> </w:t>
      </w:r>
    </w:p>
    <w:p w14:paraId="172D4804" w14:textId="77777777" w:rsidR="00584E4A" w:rsidRPr="00BF5E04" w:rsidRDefault="00584E4A" w:rsidP="00584E4A">
      <w:pPr>
        <w:pStyle w:val="2"/>
      </w:pPr>
      <w:bookmarkStart w:id="169" w:name="_Toc222380419"/>
      <w:r w:rsidRPr="00BF5E04">
        <w:t>Курсив, 18.02.2026, Сколько нужно копить, чтобы получать пенсию, равную 40% от зарплаты</w:t>
      </w:r>
      <w:bookmarkEnd w:id="169"/>
    </w:p>
    <w:p w14:paraId="3F307A40" w14:textId="77777777" w:rsidR="00584E4A" w:rsidRPr="00BF5E04" w:rsidRDefault="00584E4A" w:rsidP="001A12F0">
      <w:pPr>
        <w:pStyle w:val="3"/>
      </w:pPr>
      <w:bookmarkStart w:id="170" w:name="_Toc222380420"/>
      <w:r w:rsidRPr="00BF5E04">
        <w:t>Казахстанцам, воспользовавшимся выводом части денег из ЕНПФ, при достижении пенсионного возраста будет сложно выйти на достаточную пенсию, которая бы соответствовала 40% их ежемесячного дохода, считает финансист Qazaq Expert Club Венера Жаналина. Для этого им лучше не выводить суммы, превышающие порог достаточности, а также ожидать хорошей доходности по своим пенсионным накоплениям.</w:t>
      </w:r>
      <w:bookmarkEnd w:id="170"/>
    </w:p>
    <w:p w14:paraId="41CEB6F3" w14:textId="77777777" w:rsidR="00584E4A" w:rsidRPr="00BF5E04" w:rsidRDefault="00584E4A" w:rsidP="00584E4A">
      <w:r w:rsidRPr="00BF5E04">
        <w:t>Несколько дней назад председатель Национального банка Тимур Сулейменов заявил, что власти рассматривают возможность поднятия порогов, свыше которых разрешается снятие излишков пенсионных денег.</w:t>
      </w:r>
    </w:p>
    <w:p w14:paraId="324D6FFB" w14:textId="7B9FDF1C" w:rsidR="00584E4A" w:rsidRPr="00BF5E04" w:rsidRDefault="00401C97" w:rsidP="00584E4A">
      <w:r>
        <w:lastRenderedPageBreak/>
        <w:t>«</w:t>
      </w:r>
      <w:r w:rsidR="00584E4A" w:rsidRPr="00BF5E04">
        <w:t>Вместе с тем для обеспечения достойного уровня пенсионных выплат в будущем необходимо повысить коэффициент замещения дохода. Это требует ужесточения порога досрочных изъятий пенсионных</w:t>
      </w:r>
      <w:r>
        <w:t>»</w:t>
      </w:r>
      <w:r w:rsidR="00584E4A" w:rsidRPr="00BF5E04">
        <w:t>, – отметил он.</w:t>
      </w:r>
    </w:p>
    <w:p w14:paraId="5FCDB2A5" w14:textId="77777777" w:rsidR="00584E4A" w:rsidRPr="00BF5E04" w:rsidRDefault="00584E4A" w:rsidP="00584E4A">
      <w:r w:rsidRPr="00BF5E04">
        <w:t>Жаналина напомнила, что Международная организация труда считает адекватным коэффициент замещения дохода не ниже 40%. То есть казахстанец при выходе на пенсию должен получать не менее 40% от своей средней зарплаты.</w:t>
      </w:r>
    </w:p>
    <w:p w14:paraId="714B4233" w14:textId="6BA037CA" w:rsidR="00584E4A" w:rsidRPr="00BF5E04" w:rsidRDefault="00401C97" w:rsidP="00584E4A">
      <w:r>
        <w:t>«</w:t>
      </w:r>
      <w:r w:rsidR="00584E4A" w:rsidRPr="00BF5E04">
        <w:t>Повышение порогов досрочных изъятий напрямую связано с задачей повышения коэффициента замещения дохода. В накопительной системе размер будущей пенсии напрямую зависит от трех факторов: объема накоплений, инвестиционной доходности и продолжительности выплат</w:t>
      </w:r>
      <w:r>
        <w:t>»</w:t>
      </w:r>
      <w:r w:rsidR="00584E4A" w:rsidRPr="00BF5E04">
        <w:t xml:space="preserve">, – сказала </w:t>
      </w:r>
      <w:r>
        <w:t>«</w:t>
      </w:r>
      <w:r w:rsidR="00584E4A" w:rsidRPr="00BF5E04">
        <w:t>Курсиву</w:t>
      </w:r>
      <w:r>
        <w:t>»</w:t>
      </w:r>
      <w:r w:rsidR="00584E4A" w:rsidRPr="00BF5E04">
        <w:t xml:space="preserve"> эксперт.</w:t>
      </w:r>
    </w:p>
    <w:p w14:paraId="6F378BB2" w14:textId="77777777" w:rsidR="00584E4A" w:rsidRPr="00BF5E04" w:rsidRDefault="00584E4A" w:rsidP="00584E4A">
      <w:r w:rsidRPr="00BF5E04">
        <w:t>При исторической номинальной доходности около 9,5% и средней инфляции около 9,1% реальная историческая доходность пенсионных активов составляет около 0,4% в год (пенсионные накопления не просто хранятся в ЕНПФ, но активно инвестируются в различные финансовые инструменты для получения дополнительного дохода).</w:t>
      </w:r>
    </w:p>
    <w:p w14:paraId="40F71E88" w14:textId="00BE5935" w:rsidR="00584E4A" w:rsidRPr="00BF5E04" w:rsidRDefault="00401C97" w:rsidP="00584E4A">
      <w:r>
        <w:t>«</w:t>
      </w:r>
      <w:r w:rsidR="00584E4A" w:rsidRPr="00BF5E04">
        <w:t>Это означает, что реальный прирост покупательной способности накоплений умеренный, и преждевременные изъятия существенно влияют на итоговый капитал. Следовательно, порог достаточности должен рассчитываться таким образом, чтобы к 63 годам на счете оставалась сумма, обеспечивающая целевой коэффициент замещения, а не просто формально превышающая текущий минимум</w:t>
      </w:r>
      <w:r>
        <w:t>»</w:t>
      </w:r>
      <w:r w:rsidR="00584E4A" w:rsidRPr="00BF5E04">
        <w:t>, – отметила Жаналина.</w:t>
      </w:r>
    </w:p>
    <w:p w14:paraId="635B0C6A" w14:textId="77777777" w:rsidR="00584E4A" w:rsidRPr="00BF5E04" w:rsidRDefault="00584E4A" w:rsidP="00584E4A">
      <w:r w:rsidRPr="00BF5E04">
        <w:t>Пример расчета:</w:t>
      </w:r>
    </w:p>
    <w:p w14:paraId="36F82383" w14:textId="77777777" w:rsidR="00584E4A" w:rsidRPr="00BF5E04" w:rsidRDefault="00584E4A" w:rsidP="00584E4A">
      <w:r w:rsidRPr="00BF5E04">
        <w:t>Мужчина – 40 лет</w:t>
      </w:r>
    </w:p>
    <w:p w14:paraId="68772CBB" w14:textId="77777777" w:rsidR="00584E4A" w:rsidRPr="00BF5E04" w:rsidRDefault="00584E4A" w:rsidP="00584E4A">
      <w:r w:rsidRPr="00BF5E04">
        <w:t>Средняя зарплата – 600 000 тенге</w:t>
      </w:r>
    </w:p>
    <w:p w14:paraId="3EFC0176" w14:textId="77777777" w:rsidR="00584E4A" w:rsidRPr="00BF5E04" w:rsidRDefault="00584E4A" w:rsidP="00584E4A">
      <w:r w:rsidRPr="00BF5E04">
        <w:t>До пенсии – 23 года</w:t>
      </w:r>
    </w:p>
    <w:p w14:paraId="64D0EB8C" w14:textId="77777777" w:rsidR="00584E4A" w:rsidRPr="00BF5E04" w:rsidRDefault="00584E4A" w:rsidP="00584E4A">
      <w:r w:rsidRPr="00BF5E04">
        <w:t>Накопления до изъятия – 11 720 000 тенге</w:t>
      </w:r>
    </w:p>
    <w:p w14:paraId="3DE95857" w14:textId="77777777" w:rsidR="00584E4A" w:rsidRPr="00BF5E04" w:rsidRDefault="00584E4A" w:rsidP="00584E4A">
      <w:r w:rsidRPr="00BF5E04">
        <w:t>Изъятие – 5 000 000 тенге</w:t>
      </w:r>
    </w:p>
    <w:p w14:paraId="3BEECC76" w14:textId="77777777" w:rsidR="00584E4A" w:rsidRPr="00BF5E04" w:rsidRDefault="00584E4A" w:rsidP="00584E4A">
      <w:r w:rsidRPr="00BF5E04">
        <w:t>Остаток после изъятия – 6 720 000 тенге (соответствует порогу достаточности 2026 года)</w:t>
      </w:r>
    </w:p>
    <w:p w14:paraId="53268FF3" w14:textId="77777777" w:rsidR="00584E4A" w:rsidRPr="00BF5E04" w:rsidRDefault="00584E4A" w:rsidP="00584E4A">
      <w:r w:rsidRPr="00BF5E04">
        <w:t>Горизонт выплат – 20 лет</w:t>
      </w:r>
    </w:p>
    <w:p w14:paraId="096D4941" w14:textId="77777777" w:rsidR="00584E4A" w:rsidRPr="00BF5E04" w:rsidRDefault="00584E4A" w:rsidP="00584E4A">
      <w:r w:rsidRPr="00BF5E04">
        <w:t>Обязательные пенсионные взносы – 10%</w:t>
      </w:r>
    </w:p>
    <w:p w14:paraId="409FEC46" w14:textId="77777777" w:rsidR="00584E4A" w:rsidRPr="00BF5E04" w:rsidRDefault="00584E4A" w:rsidP="00584E4A">
      <w:r w:rsidRPr="00BF5E04">
        <w:t>Таким образом, казахстанский мужчина 40 лет со средней зарплатой в 600 тыс. тенге должен ориентироваться на пенсию в 240 тыс. тенге в месяц в текущих ценах. При условном горизонте выплат 20 лет необходимый капитал к моменту выхода на пенсию рассчитывается по аннуитетной модели, то есть с учетом инвестиционного дохода в период выплат.</w:t>
      </w:r>
    </w:p>
    <w:p w14:paraId="523812F8" w14:textId="1934F3AF" w:rsidR="00584E4A" w:rsidRPr="00BF5E04" w:rsidRDefault="00401C97" w:rsidP="00584E4A">
      <w:r>
        <w:t>«</w:t>
      </w:r>
      <w:r w:rsidR="00584E4A" w:rsidRPr="00BF5E04">
        <w:t>Если предположить реальную доходность около 0,4% годовых (близкую к долгосрочному историческому уровню), для обеспечения 240 тыс. тенге в месяц потребуется около 55 млн тенге в реальном выражении к 63 годам. При более благоприятном сценарии реальной доходности 2% годовых необходимый капитал составит порядка 47-48 млн тенге. Таким образом, для достижения 40% замещения размер накоплений к пенсионному возрасту должен находиться в диапазоне 47-55 млн тенге в зависимости от доходности</w:t>
      </w:r>
      <w:r>
        <w:t>»</w:t>
      </w:r>
      <w:r w:rsidR="00584E4A" w:rsidRPr="00BF5E04">
        <w:t>, – посчитала эксперт.</w:t>
      </w:r>
    </w:p>
    <w:p w14:paraId="4C3C9041" w14:textId="77777777" w:rsidR="00584E4A" w:rsidRPr="00BF5E04" w:rsidRDefault="00584E4A" w:rsidP="00584E4A">
      <w:r w:rsidRPr="00BF5E04">
        <w:lastRenderedPageBreak/>
        <w:t>По ее словам, если в 40 лет на пенсионном счете накоплено около 11-12 млн тенге, то итоговый коэффициент замещения будет существенно зависеть от реальной доходности. К примеру, при консервативной реальной доходности около 0,4% годовых совокупная пенсия с учетом базовой части составит примерно 180-185 тыс. тенге в месяц, что соответствует коэффициенту замещения около 30-31%.</w:t>
      </w:r>
    </w:p>
    <w:p w14:paraId="4A76F77D" w14:textId="77777777" w:rsidR="00584E4A" w:rsidRPr="00BF5E04" w:rsidRDefault="00584E4A" w:rsidP="00584E4A">
      <w:r w:rsidRPr="00BF5E04">
        <w:t>Если же предположить устойчивую реальную доходность на уровне 2% годовых, то итоговая выплата может достигать 250 тыс. тенге в месяц, а коэффициент замещения приблизится к 42%, то есть фактически выйдет на целевой ориентир 40%.</w:t>
      </w:r>
    </w:p>
    <w:p w14:paraId="51014323" w14:textId="77777777" w:rsidR="00584E4A" w:rsidRPr="00BF5E04" w:rsidRDefault="00584E4A" w:rsidP="00584E4A">
      <w:r w:rsidRPr="00BF5E04">
        <w:t>Жаналина отметила, что, если 40-летний мужчина при накоплениях в 11,72 млн тенге примет решение изъять 5 млн тенге, оставив на счете 6,72 млн (уровень текущего порога достаточности) тенге, то это приведет к следующим последствиям.</w:t>
      </w:r>
    </w:p>
    <w:p w14:paraId="38796F8E" w14:textId="77777777" w:rsidR="00584E4A" w:rsidRPr="00BF5E04" w:rsidRDefault="00584E4A" w:rsidP="00584E4A">
      <w:r w:rsidRPr="00BF5E04">
        <w:t>При сохранении ставки взносов 10% и горизонте до пенсии 23 года последствия будут следующими:</w:t>
      </w:r>
    </w:p>
    <w:p w14:paraId="25B96C42" w14:textId="77777777" w:rsidR="00584E4A" w:rsidRPr="00BF5E04" w:rsidRDefault="00584E4A" w:rsidP="00584E4A">
      <w:r w:rsidRPr="00BF5E04">
        <w:t>при реальной доходности 0,4% итоговый коэффициент замещения снизится примерно с 30-31% до 27%;</w:t>
      </w:r>
    </w:p>
    <w:p w14:paraId="557AF95D" w14:textId="77777777" w:rsidR="00584E4A" w:rsidRPr="00BF5E04" w:rsidRDefault="00584E4A" w:rsidP="00584E4A">
      <w:r w:rsidRPr="00BF5E04">
        <w:t>при реальной доходности 2% – с 42% до примерно 35%.</w:t>
      </w:r>
    </w:p>
    <w:p w14:paraId="69BD595F" w14:textId="77777777" w:rsidR="00584E4A" w:rsidRPr="00BF5E04" w:rsidRDefault="00584E4A" w:rsidP="00584E4A">
      <w:r w:rsidRPr="00BF5E04">
        <w:t>В денежном выражении это означает снижение будущей пенсии примерно на:</w:t>
      </w:r>
    </w:p>
    <w:p w14:paraId="201A83A1" w14:textId="77777777" w:rsidR="00584E4A" w:rsidRPr="00BF5E04" w:rsidRDefault="00584E4A" w:rsidP="00584E4A">
      <w:r w:rsidRPr="00BF5E04">
        <w:t>20-25 тыс. тенге в месяц в реальном выражении при доходности 0,4%;</w:t>
      </w:r>
    </w:p>
    <w:p w14:paraId="34388377" w14:textId="77777777" w:rsidR="00584E4A" w:rsidRPr="00BF5E04" w:rsidRDefault="00584E4A" w:rsidP="00584E4A">
      <w:r w:rsidRPr="00BF5E04">
        <w:t>35-40 тыс. тенге в месяц при доходности 2%.</w:t>
      </w:r>
    </w:p>
    <w:p w14:paraId="77184D1C" w14:textId="77777777" w:rsidR="00584E4A" w:rsidRPr="00BF5E04" w:rsidRDefault="00584E4A" w:rsidP="00584E4A">
      <w:r w:rsidRPr="00BF5E04">
        <w:t>Таким образом, досрочное изъятие 5 млн тенге в 40 лет уменьшает будущий коэффициент замещения на 4-7 процентных пунктов. Чем выше реальная доходность системы, тем заметнее эффект потери сложного процента.</w:t>
      </w:r>
    </w:p>
    <w:p w14:paraId="7A53260D" w14:textId="75642DAD" w:rsidR="00584E4A" w:rsidRPr="00BF5E04" w:rsidRDefault="00401C97" w:rsidP="00584E4A">
      <w:r>
        <w:t>«</w:t>
      </w:r>
      <w:r w:rsidR="00584E4A" w:rsidRPr="00BF5E04">
        <w:t>С учетом приведенных расчетов можно сделать вывод, что действующий порог достаточности в ряде возрастных групп не гарантирует достижение целевого коэффициента замещения на уровне 40% при консервативной реальной доходности. Если система ориентируется на историческую реальную доходность около 0,4% годовых, экономически обоснованный порог должен рассчитываться исходя из обеспечения целевого замещения, а не только из формального сохранения минимального остатка</w:t>
      </w:r>
      <w:r>
        <w:t>»</w:t>
      </w:r>
      <w:r w:rsidR="00584E4A" w:rsidRPr="00BF5E04">
        <w:t>, – сказала она.</w:t>
      </w:r>
    </w:p>
    <w:p w14:paraId="62E7BCBA" w14:textId="77777777" w:rsidR="00584E4A" w:rsidRPr="00BF5E04" w:rsidRDefault="00584E4A" w:rsidP="00584E4A">
      <w:r w:rsidRPr="00BF5E04">
        <w:t>В противном случае риск недоформирования пенсионного капитала переносится на будущих пенсионеров. Поэтому вопрос повышения порогов – это не ограничительная мера, а инструмент долгосрочной устойчивости пенсионной системы и защиты доходов граждан в пожилом возрасте, уверена Жаналина.</w:t>
      </w:r>
    </w:p>
    <w:p w14:paraId="6EFA3360" w14:textId="6750E0C1" w:rsidR="00111D7C" w:rsidRPr="00BF5E04" w:rsidRDefault="00584E4A" w:rsidP="00584E4A">
      <w:hyperlink r:id="rId52" w:history="1">
        <w:r w:rsidRPr="00BF5E04">
          <w:rPr>
            <w:rStyle w:val="a3"/>
          </w:rPr>
          <w:t>https://kz.kursiv.media/2026-02-18/zhnb-s-kakimi-slozhnostyami-mogut-stolknutsya-kazahstanczy-vyvodyashhie-dengi-iz-enpf/</w:t>
        </w:r>
      </w:hyperlink>
    </w:p>
    <w:p w14:paraId="285906EB" w14:textId="77777777" w:rsidR="00584E4A" w:rsidRPr="00BF5E04" w:rsidRDefault="00584E4A" w:rsidP="00584E4A"/>
    <w:p w14:paraId="0F91D1CE" w14:textId="77777777" w:rsidR="00111D7C" w:rsidRPr="00BF5E04" w:rsidRDefault="00111D7C" w:rsidP="00111D7C">
      <w:pPr>
        <w:pStyle w:val="10"/>
      </w:pPr>
      <w:bookmarkStart w:id="171" w:name="_Toc99271715"/>
      <w:bookmarkStart w:id="172" w:name="_Toc99318660"/>
      <w:bookmarkStart w:id="173" w:name="_Toc165991080"/>
      <w:bookmarkStart w:id="174" w:name="_Toc222380421"/>
      <w:r w:rsidRPr="00BF5E04">
        <w:lastRenderedPageBreak/>
        <w:t>Новости пенсионной отрасли стран дальнего зарубежья</w:t>
      </w:r>
      <w:bookmarkEnd w:id="171"/>
      <w:bookmarkEnd w:id="172"/>
      <w:bookmarkEnd w:id="173"/>
      <w:bookmarkEnd w:id="174"/>
    </w:p>
    <w:p w14:paraId="1B328960" w14:textId="77777777" w:rsidR="004F230A" w:rsidRPr="00BF5E04" w:rsidRDefault="004F230A" w:rsidP="004F230A">
      <w:pPr>
        <w:pStyle w:val="2"/>
      </w:pPr>
      <w:bookmarkStart w:id="175" w:name="_Toc222380422"/>
      <w:r w:rsidRPr="00BF5E04">
        <w:t>Диалектик, 18.02.2026, В Германии хотят повысить пенсионный возраст до 70 лет</w:t>
      </w:r>
      <w:bookmarkEnd w:id="175"/>
    </w:p>
    <w:p w14:paraId="7CCCF6EC" w14:textId="18CEAA8B" w:rsidR="004F230A" w:rsidRPr="00BF5E04" w:rsidRDefault="004F230A" w:rsidP="001A12F0">
      <w:pPr>
        <w:pStyle w:val="3"/>
      </w:pPr>
      <w:bookmarkStart w:id="176" w:name="_Toc222380423"/>
      <w:r w:rsidRPr="00BF5E04">
        <w:t xml:space="preserve">Специальная комиссия при федеральном правительстве Германии начала обсуждать возможность повышения установленного законом пенсионного возраста до 70 лет. Об этом сообщают немецкие издания, выяснил </w:t>
      </w:r>
      <w:r w:rsidR="00401C97">
        <w:t>«</w:t>
      </w:r>
      <w:r w:rsidRPr="00BF5E04">
        <w:t>Диалектик</w:t>
      </w:r>
      <w:r w:rsidR="00401C97">
        <w:t>»</w:t>
      </w:r>
      <w:r w:rsidRPr="00BF5E04">
        <w:t>.</w:t>
      </w:r>
      <w:bookmarkEnd w:id="176"/>
    </w:p>
    <w:p w14:paraId="5E29ADC6" w14:textId="77777777" w:rsidR="004F230A" w:rsidRPr="00BF5E04" w:rsidRDefault="004F230A" w:rsidP="004F230A">
      <w:r w:rsidRPr="00BF5E04">
        <w:t>На заседании 23 февраля эксперты планируют согласовать механизмы реализации этой реформы. Власти рассматривают введение значительных денежных выплат за поздний уход с работы и пересмотр объема отчислений для тех, кто решит завершить карьеру досрочно. Другим важным изменением может стать обязательное участие государственных служащих и политиков в общей системе пенсионного страхования наравне с остальными работниками.</w:t>
      </w:r>
    </w:p>
    <w:p w14:paraId="7FFC7073" w14:textId="77777777" w:rsidR="004F230A" w:rsidRPr="00BF5E04" w:rsidRDefault="004F230A" w:rsidP="004F230A">
      <w:r w:rsidRPr="00BF5E04">
        <w:t>Рабочую группу из 13 человек возглавляют профессор социального права Констанце Янда и Франк-Юрген Вайзе. В состав органа вошли представители партий ХДС/ХСС и СДПГ, а также ведущие ученые. Первые рекомендации комиссия подготовит к весне 2026 года, а окончательный проект реформы представят к середине года. Лидер фракции ХДС/ХСС Йенс Шпан подчеркнул, что при росте средней продолжительности жизни до 100 лет практика прекращения работы в середине седьмого десятка якобы становится невозможной.</w:t>
      </w:r>
    </w:p>
    <w:p w14:paraId="1272DEB8" w14:textId="77777777" w:rsidR="004F230A" w:rsidRPr="00BF5E04" w:rsidRDefault="004F230A" w:rsidP="004F230A">
      <w:r w:rsidRPr="00BF5E04">
        <w:t>Необходимость изменений, по их словам, вызвана демографическим кризисом, так как Германия обладает самой возрастной рабочей силой в Евросоюзе. По данным статистики, доля занятых в возрасте от 55 до 64 лет в стране достигла 24%, в то время как средний показатель по ЕС составляет лишь 20,1%. Сейчас на одного работающего немца приходится более трех человек старше 67 лет, а к 2050 году эта нагрузка может вырасти до пяти пенсионеров.</w:t>
      </w:r>
    </w:p>
    <w:p w14:paraId="5BD704E5" w14:textId="396B59E8" w:rsidR="004F230A" w:rsidRPr="00BF5E04" w:rsidRDefault="004F230A" w:rsidP="004F230A">
      <w:r w:rsidRPr="00BF5E04">
        <w:t xml:space="preserve">Сокращение социальных расходов является частью антикризисного плана правительства Мерца. По мнению сторонников этой идеи, </w:t>
      </w:r>
      <w:r w:rsidR="00401C97">
        <w:t>«</w:t>
      </w:r>
      <w:r w:rsidRPr="00BF5E04">
        <w:t>государство всеобщего благосостояния душит экономический рост</w:t>
      </w:r>
      <w:r w:rsidR="00401C97">
        <w:t>»</w:t>
      </w:r>
      <w:r w:rsidRPr="00BF5E04">
        <w:t xml:space="preserve"> страны. Помимо сокращения расходов на пенсии, Мерц предложил сократить еще целый ряд социальных расходов, в том числе на здравоохранение. Если эти планы будут реализованы, то в стране произойдет откат социальных достижений, за которые рабочее движение боролось десятилетиями.</w:t>
      </w:r>
    </w:p>
    <w:p w14:paraId="62137E73" w14:textId="7F4704E5" w:rsidR="004F230A" w:rsidRPr="00BF5E04" w:rsidRDefault="004F230A" w:rsidP="004F230A">
      <w:hyperlink r:id="rId53" w:history="1">
        <w:r w:rsidRPr="00BF5E04">
          <w:rPr>
            <w:rStyle w:val="a3"/>
          </w:rPr>
          <w:t>https://dialectic.club/2026/02/18/v-germanii-khotyat-povysit-pensionnyj-vozrast-do-70-let/</w:t>
        </w:r>
      </w:hyperlink>
      <w:r w:rsidRPr="00BF5E04">
        <w:t xml:space="preserve"> </w:t>
      </w:r>
    </w:p>
    <w:p w14:paraId="504D30DF" w14:textId="65C19EA5" w:rsidR="0036073E" w:rsidRPr="00BF5E04" w:rsidRDefault="0036073E" w:rsidP="0036073E">
      <w:pPr>
        <w:pStyle w:val="2"/>
      </w:pPr>
      <w:bookmarkStart w:id="177" w:name="_Toc222380424"/>
      <w:r w:rsidRPr="00BF5E04">
        <w:lastRenderedPageBreak/>
        <w:t>Gorod.lv, 18.02.2026, На Manabalss.lv собраны подписи за возможность добровольно изымать средства 2 пенсионного уровня</w:t>
      </w:r>
      <w:bookmarkEnd w:id="177"/>
    </w:p>
    <w:p w14:paraId="3C58C03E" w14:textId="77777777" w:rsidR="0036073E" w:rsidRPr="00BF5E04" w:rsidRDefault="0036073E" w:rsidP="001A12F0">
      <w:pPr>
        <w:pStyle w:val="3"/>
      </w:pPr>
      <w:bookmarkStart w:id="178" w:name="_Toc222380425"/>
      <w:r w:rsidRPr="00BF5E04">
        <w:t>На портале общественных инициатив Manabalss.lv был объявлен сбор подписей за предоставление жителям Латвии права добровольно изымать накопления 2-го пенсионного уровня полностью или частично. Инициатива уже набрала более 10 000 голосов и будет подана на рассмотрение в Сейм.</w:t>
      </w:r>
      <w:bookmarkEnd w:id="178"/>
    </w:p>
    <w:p w14:paraId="33D3CD36" w14:textId="77777777" w:rsidR="0036073E" w:rsidRPr="00BF5E04" w:rsidRDefault="0036073E" w:rsidP="0036073E">
      <w:r w:rsidRPr="00BF5E04">
        <w:t>Автор предложения Гиртс Бумберс указывает, что средства 2-го пенсионного уровня являются индивидуальными накоплениями, сформированными из социальных взносов и инвестированными от имени конкретного человека. По его мнению, действующий запрет на доступ к этим средствам до достижения пенсионного возраста является чрезмерным и не учитывает жизненные обстоятельства, когда деньги могут быть необходимы раньше – например, для приобретения жилья, оплаты лечения или начала предпринимательской деятельности.</w:t>
      </w:r>
    </w:p>
    <w:p w14:paraId="5F745D6B" w14:textId="77777777" w:rsidR="0036073E" w:rsidRPr="00BF5E04" w:rsidRDefault="0036073E" w:rsidP="0036073E">
      <w:r w:rsidRPr="00BF5E04">
        <w:t>В обосновании инициативы автор ссылается на право собственности, закрепленное в статье 105 Сатверсме, а также на принципы правовой определенности и соразмерности. Предлагается внести изменения в Закон о государственных фондированных пенсиях, установив возможность добровольного частичного или полного изъятия накоплений при соблюдении определённых условий – например, с сохранением минимального остатка или применением налогообложения. Такая мера повысит финансовую гибкость жителей, снизит нагрузку на систему социальных пособий и стимулирует экономическую активность.</w:t>
      </w:r>
    </w:p>
    <w:p w14:paraId="0E30B2AF" w14:textId="77777777" w:rsidR="0036073E" w:rsidRPr="00BF5E04" w:rsidRDefault="0036073E" w:rsidP="0036073E">
      <w:r w:rsidRPr="00BF5E04">
        <w:t>Следует отметить, что у жителей других стран Балтии – Эстонии и Литвы – такая возможность уже есть. Нельзя не учитывать и негативную сторону этого решения: массовое изъятие накоплений 2-го пенсионного уровня способно снизить будущие пенсии самих участников системы и повлиять на долгосрочную стабильность пенсионных фондов.</w:t>
      </w:r>
    </w:p>
    <w:p w14:paraId="223393C7" w14:textId="63D55026" w:rsidR="0036073E" w:rsidRDefault="0036073E" w:rsidP="0036073E">
      <w:hyperlink r:id="rId54" w:history="1">
        <w:r w:rsidRPr="00BF5E04">
          <w:rPr>
            <w:rStyle w:val="a3"/>
          </w:rPr>
          <w:t>https://www.gorod.lv/novosti/363966-na-manabalsslv-sobrany-podpisi-za-vozmozhnost-dobrovolno-izymat-sredstva-2-pensionnogo-urovnya</w:t>
        </w:r>
      </w:hyperlink>
      <w:r w:rsidRPr="00BF5E04">
        <w:t xml:space="preserve"> </w:t>
      </w:r>
    </w:p>
    <w:p w14:paraId="06B30AE8" w14:textId="77777777" w:rsidR="008A26ED" w:rsidRDefault="008A26ED" w:rsidP="008A26ED">
      <w:pPr>
        <w:pStyle w:val="2"/>
      </w:pPr>
      <w:bookmarkStart w:id="179" w:name="_Toc222380426"/>
      <w:r>
        <w:t>Sputnik Латвия, 18.02.2026, Эксперт: пенсионная система может рухнуть</w:t>
      </w:r>
      <w:bookmarkEnd w:id="179"/>
    </w:p>
    <w:p w14:paraId="1DB62765" w14:textId="77777777" w:rsidR="008A26ED" w:rsidRDefault="008A26ED" w:rsidP="001A12F0">
      <w:pPr>
        <w:pStyle w:val="3"/>
      </w:pPr>
      <w:bookmarkStart w:id="180" w:name="_Toc222380427"/>
      <w:r>
        <w:t>Властям Латвии не стоит делать второй уровень добровольным, поскольку это может привести к разрушению пенсионной системы, заявила заместитель президента Латвийской конфедерации работодателей, депутат Бауского края Инара Петерсоне.</w:t>
      </w:r>
      <w:bookmarkEnd w:id="180"/>
    </w:p>
    <w:p w14:paraId="7012219C" w14:textId="77777777" w:rsidR="008A26ED" w:rsidRDefault="008A26ED" w:rsidP="008A26ED">
      <w:r>
        <w:t>В обществе уже продолжительное время обсуждается идея сделать второй пенсионный уровень добровольным. Так, на портале Manabalss инициатива предоставить жителям право отказаться от участия во втором уровне уже набрала 10 тысяч голосов – минимальное количество, необходимое для того, чтобы инициативу рассмотрел Сейм.</w:t>
      </w:r>
    </w:p>
    <w:p w14:paraId="02A0484D" w14:textId="77777777" w:rsidR="008A26ED" w:rsidRDefault="008A26ED" w:rsidP="008A26ED">
      <w:r>
        <w:t>Вместе с этим активисты собирают подписи за принятие поправок, которые разрешат латвийцам частично или полностью забирать накопления.</w:t>
      </w:r>
    </w:p>
    <w:p w14:paraId="5A02515E" w14:textId="77777777" w:rsidR="008A26ED" w:rsidRDefault="008A26ED" w:rsidP="008A26ED">
      <w:r>
        <w:lastRenderedPageBreak/>
        <w:t>Однако не все жители республики поддерживают эти идеи. Например, представители банков предупредили, если латвийцы начнут досрочно забирать накопления, то в будущем могут остаться без пенсий.</w:t>
      </w:r>
    </w:p>
    <w:p w14:paraId="25F8611D" w14:textId="77777777" w:rsidR="008A26ED" w:rsidRDefault="008A26ED" w:rsidP="008A26ED">
      <w:r>
        <w:t>А в Минфине подчеркивают, что идея сделать второй уровень добровольным не соответствует долгосрочным целям пенсионной системы.</w:t>
      </w:r>
    </w:p>
    <w:p w14:paraId="44B25779" w14:textId="27119537" w:rsidR="008A26ED" w:rsidRDefault="008A26ED" w:rsidP="008A26ED">
      <w:r>
        <w:t xml:space="preserve">Петерсоне согласна с противниками этих идей. По ее словам, система уже работает с </w:t>
      </w:r>
      <w:r w:rsidR="00401C97">
        <w:t>«</w:t>
      </w:r>
      <w:r>
        <w:t>просчетами</w:t>
      </w:r>
      <w:r w:rsidR="00401C97">
        <w:t>»</w:t>
      </w:r>
      <w:r>
        <w:t>.</w:t>
      </w:r>
    </w:p>
    <w:p w14:paraId="08D290CE" w14:textId="32851441" w:rsidR="008A26ED" w:rsidRDefault="00401C97" w:rsidP="008A26ED">
      <w:r>
        <w:t>«</w:t>
      </w:r>
      <w:r w:rsidR="008A26ED">
        <w:t>Уже сейчас все расчеты, которые представляет министерство благосостояния, показывают нисходящую тенденцию: чем позже ты выходишь на пенсию, тем меньший процент от прежнего дохода получаешь обратно. Это, на мой взгляд, уже совершенно другой серьезный вопрос</w:t>
      </w:r>
      <w:r>
        <w:t>»</w:t>
      </w:r>
      <w:r w:rsidR="008A26ED">
        <w:t>, – пояснила она.</w:t>
      </w:r>
    </w:p>
    <w:p w14:paraId="1109EC21" w14:textId="77777777" w:rsidR="008A26ED" w:rsidRDefault="008A26ED" w:rsidP="008A26ED">
      <w:r>
        <w:t>Ранее жители республики при достижении пенсионного возраста могли выбрать, что делать со средствами со второго уровня.</w:t>
      </w:r>
    </w:p>
    <w:p w14:paraId="44B477CB" w14:textId="58C128F0" w:rsidR="008A26ED" w:rsidRDefault="00401C97" w:rsidP="008A26ED">
      <w:r>
        <w:t>«</w:t>
      </w:r>
      <w:r w:rsidR="008A26ED">
        <w:t>Когда ты достигал пенсионного возраста, ты мог выбрать: либо добавить второй уровень к первому и получать немного большую пенсию каждый месяц, либо сразу получить всю сумму. Например, если нужны деньги на лечение, решение проблем со здоровьем, жилье или другие жизненные ситуации. Сейчас этого больше сделать нельзя</w:t>
      </w:r>
      <w:r>
        <w:t>»</w:t>
      </w:r>
      <w:r w:rsidR="008A26ED">
        <w:t>, – уточнила эксперт.</w:t>
      </w:r>
    </w:p>
    <w:p w14:paraId="5A647D5D" w14:textId="77777777" w:rsidR="008A26ED" w:rsidRDefault="008A26ED" w:rsidP="008A26ED">
      <w:r>
        <w:t>Отдельное внимание Петерсоне обратила на проблему наследования накоплений второго пенсионного уровня. Формально деньги, хранящиеся на втором уровне, – личные накопления каждого пенсионера. Однако при наследовании зачастую возникает проблема: наследник должен заплатить за то, чтобы перевести деньги на свой счет.</w:t>
      </w:r>
    </w:p>
    <w:p w14:paraId="5C2A31B9" w14:textId="6328D94F" w:rsidR="008A26ED" w:rsidRDefault="00401C97" w:rsidP="008A26ED">
      <w:r>
        <w:t>«</w:t>
      </w:r>
      <w:r w:rsidR="008A26ED">
        <w:t>Если ты выбираешь вариант перечисления денег на счет, нужно заплатить подоходный налог – 25,5%. То есть четверть суммы снова нужно отдать государству. Это огромные деньги – не 5 и не 10 процентов</w:t>
      </w:r>
      <w:r>
        <w:t>»</w:t>
      </w:r>
      <w:r w:rsidR="008A26ED">
        <w:t>, – подчеркнула Петерсоне.</w:t>
      </w:r>
    </w:p>
    <w:p w14:paraId="59C27759" w14:textId="77777777" w:rsidR="008A26ED" w:rsidRDefault="008A26ED" w:rsidP="008A26ED">
      <w:r>
        <w:t>При этом, если наследник полученные в наследство деньги переведет на свой второй пенсионный уровень, то ему не нужно платить налог.</w:t>
      </w:r>
    </w:p>
    <w:p w14:paraId="146975D0" w14:textId="49421987" w:rsidR="008A26ED" w:rsidRDefault="00401C97" w:rsidP="008A26ED">
      <w:r>
        <w:t>«</w:t>
      </w:r>
      <w:r w:rsidR="008A26ED">
        <w:t>Получается, это одни и те же деньги, но если ты хочешь получить их на руки, то платишь налог. Это выглядит как механизм принуждения, хотя нам говорят, что это мои деньги и я могу распоряжаться ими по своему усмотрению</w:t>
      </w:r>
      <w:r>
        <w:t>»</w:t>
      </w:r>
      <w:r w:rsidR="008A26ED">
        <w:t>, – добавила эксперт.</w:t>
      </w:r>
    </w:p>
    <w:p w14:paraId="6D477FB3" w14:textId="07076A07" w:rsidR="008A26ED" w:rsidRPr="00BF5E04" w:rsidRDefault="008A26ED" w:rsidP="008A26ED">
      <w:hyperlink r:id="rId55" w:history="1">
        <w:r w:rsidRPr="0084065F">
          <w:rPr>
            <w:rStyle w:val="a3"/>
          </w:rPr>
          <w:t>https://lv.sputniknews.ru/20260218/ekspert-pensionnaya-sistema-mozhet-rukhnut-32210130.html</w:t>
        </w:r>
      </w:hyperlink>
      <w:r>
        <w:t xml:space="preserve"> </w:t>
      </w:r>
    </w:p>
    <w:p w14:paraId="29C26881" w14:textId="77777777" w:rsidR="008B4169" w:rsidRPr="00BF5E04" w:rsidRDefault="008B4169" w:rsidP="008B4169">
      <w:pPr>
        <w:pStyle w:val="2"/>
      </w:pPr>
      <w:bookmarkStart w:id="181" w:name="_Toc222380428"/>
      <w:r w:rsidRPr="00BF5E04">
        <w:t>Sputnik Литва, 18.02.2026, В Литве за месяц из пенсионных фондов решила выйти пятая часть участников</w:t>
      </w:r>
      <w:bookmarkEnd w:id="181"/>
    </w:p>
    <w:p w14:paraId="215AF421" w14:textId="001CAC5B" w:rsidR="008B4169" w:rsidRPr="00BF5E04" w:rsidRDefault="008B4169" w:rsidP="001A12F0">
      <w:pPr>
        <w:pStyle w:val="3"/>
      </w:pPr>
      <w:bookmarkStart w:id="182" w:name="_Toc222380429"/>
      <w:r w:rsidRPr="00BF5E04">
        <w:t>В Литве после вступления в силу возможности для жителей выходить из пенсионных фондов и снимать накопленные средства, около 21 процента вкладчиков подали заявления о прекращении накоплений. Об этом сообщает Литовская ассоциация инвестиционных и пенсионных фондов (LIPFA).</w:t>
      </w:r>
      <w:bookmarkEnd w:id="182"/>
    </w:p>
    <w:p w14:paraId="3954669D" w14:textId="77777777" w:rsidR="008B4169" w:rsidRPr="00BF5E04" w:rsidRDefault="008B4169" w:rsidP="008B4169">
      <w:r w:rsidRPr="00BF5E04">
        <w:t xml:space="preserve">Ранее в Литве приняли поправки к Закону о пенсионных накоплениях, в рамках инициативы было отменено автоматическое включение граждан во вторую пенсионную ступень. Вместо этого была предложена модель добровольного накопления. Жители </w:t>
      </w:r>
      <w:r w:rsidRPr="00BF5E04">
        <w:lastRenderedPageBreak/>
        <w:t>балтийской республики могут снимать средства с пенсионных накоплений в течение двух лет, начиная с 2026 года.</w:t>
      </w:r>
    </w:p>
    <w:p w14:paraId="75F15997" w14:textId="77777777" w:rsidR="008B4169" w:rsidRPr="00BF5E04" w:rsidRDefault="008B4169" w:rsidP="008B4169">
      <w:r w:rsidRPr="00BF5E04">
        <w:t>Согласно сообщению LIPFA, в январе было получено более 300 тысяч заявлений о прекращении накоплений.</w:t>
      </w:r>
    </w:p>
    <w:p w14:paraId="4706FDC6" w14:textId="77777777" w:rsidR="008B4169" w:rsidRPr="00BF5E04" w:rsidRDefault="008B4169" w:rsidP="008B4169">
      <w:r w:rsidRPr="00BF5E04">
        <w:t>Отмечается, что большинство из них поступило в первые недели года, а затем их количество в несколько раз уменьшилось.</w:t>
      </w:r>
    </w:p>
    <w:p w14:paraId="724281F3" w14:textId="77777777" w:rsidR="008B4169" w:rsidRPr="00BF5E04" w:rsidRDefault="008B4169" w:rsidP="008B4169">
      <w:r w:rsidRPr="00BF5E04">
        <w:t>По словам главы LIPFA Вайдотаса Рукаса, динамика заявлений соответствовала предварительным прогнозам.</w:t>
      </w:r>
    </w:p>
    <w:p w14:paraId="7C802C21" w14:textId="77777777" w:rsidR="008B4169" w:rsidRPr="00BF5E04" w:rsidRDefault="008B4169" w:rsidP="008B4169">
      <w:r w:rsidRPr="00BF5E04">
        <w:t>В настоящее время, по сравнению с первыми неделями, их регистрируется в несколько раз меньше, добавил он.</w:t>
      </w:r>
    </w:p>
    <w:p w14:paraId="5C29DAB5" w14:textId="0EE625E2" w:rsidR="008B4169" w:rsidRPr="00BF5E04" w:rsidRDefault="00401C97" w:rsidP="008B4169">
      <w:r>
        <w:t>«</w:t>
      </w:r>
      <w:r w:rsidR="008B4169" w:rsidRPr="00BF5E04">
        <w:t>Мы видим, что после подачи заявления люди активно ищут информацию о долгосрочных сберегательных и инвестиционных инструментах, а также заинтересованы в возможности отмены первоначального решения</w:t>
      </w:r>
      <w:r>
        <w:t>»</w:t>
      </w:r>
      <w:r w:rsidR="008B4169" w:rsidRPr="00BF5E04">
        <w:t>, — заявил Рукас.</w:t>
      </w:r>
    </w:p>
    <w:p w14:paraId="4CB8412C" w14:textId="77777777" w:rsidR="008B4169" w:rsidRPr="00BF5E04" w:rsidRDefault="008B4169" w:rsidP="008B4169">
      <w:r w:rsidRPr="00BF5E04">
        <w:t>Ранее Министерство социального обеспечения и труда спрогнозировало, что из пенсионных фондов второго уровня выйдут около 40 процентов жителей Литвы. При этом общие накопленные активы фонда на конец августа 2025 года составили около 9,79 миллиарда евро. Всего в пенсионных фондах второго уровня участвуют около 1,4 миллиона человек.</w:t>
      </w:r>
    </w:p>
    <w:p w14:paraId="53A912A5" w14:textId="77777777" w:rsidR="008B4169" w:rsidRPr="00BF5E04" w:rsidRDefault="008B4169" w:rsidP="008B4169">
      <w:r w:rsidRPr="00BF5E04">
        <w:t>Больше всего деньги из пенсионных фондов хотят снять люди в возрасте от 50 до 64 лет, которые проживают в сельской местности, а также рабочие, фермеры и респонденты со средним или профессиональным образованием.</w:t>
      </w:r>
    </w:p>
    <w:p w14:paraId="183D1FBB" w14:textId="77777777" w:rsidR="008B4169" w:rsidRPr="00BF5E04" w:rsidRDefault="008B4169" w:rsidP="008B4169">
      <w:r w:rsidRPr="00BF5E04">
        <w:t>В Банке Литвы предупредили, что изменения пенсионных фондов второго уровня приведут к значительным краткосрочным колебаниям в экономике республики. По оценкам аналитиков, если 60 процентов сбережений будут изъяты, то в экономику поступит около 3,39 миллиарда евро, из которых 2,37 миллиарда евро будут направлены на потребление. Это приведет к значительному росту инфляции.</w:t>
      </w:r>
    </w:p>
    <w:p w14:paraId="7BF70FF6" w14:textId="77777777" w:rsidR="008B4169" w:rsidRPr="00BF5E04" w:rsidRDefault="008B4169" w:rsidP="008B4169">
      <w:r w:rsidRPr="00BF5E04">
        <w:t>Экономика Литвы столкнулась с серьезными трудностями из-за конфликта на Украине и санкций ЕС против России, которые вызвали резкий рост цен на электроэнергию, топливо и продукты питания. При этом Вильнюс продолжает активно поддерживать санкции, а также призывает к ужесточению ограничений против РФ.</w:t>
      </w:r>
    </w:p>
    <w:p w14:paraId="502C5810" w14:textId="77777777" w:rsidR="008B4169" w:rsidRPr="00BF5E04" w:rsidRDefault="008B4169" w:rsidP="008B4169">
      <w:r w:rsidRPr="00BF5E04">
        <w:t>В этих условиях жители республики вынуждены экономить и сокращать потребление, многие местные компании увольняют сотрудников, приостанавливают работу и фиксируют спад производства.</w:t>
      </w:r>
    </w:p>
    <w:p w14:paraId="3A89C1E6" w14:textId="06D04B28" w:rsidR="008B4169" w:rsidRPr="00BF5E04" w:rsidRDefault="008B4169" w:rsidP="008B4169">
      <w:hyperlink r:id="rId56" w:history="1">
        <w:r w:rsidRPr="00BF5E04">
          <w:rPr>
            <w:rStyle w:val="a3"/>
          </w:rPr>
          <w:t>https://lt.sputniknews.ru/20260218/v-litve-za-mesyats-iz-pensionnykh-fondov-reshila-vyyti-pyataya-chast-uchastnikov-40644279.html</w:t>
        </w:r>
      </w:hyperlink>
      <w:r w:rsidRPr="00BF5E04">
        <w:t xml:space="preserve"> </w:t>
      </w:r>
    </w:p>
    <w:p w14:paraId="54440ED6" w14:textId="77777777" w:rsidR="00D22D84" w:rsidRPr="00BF5E04" w:rsidRDefault="00D22D84" w:rsidP="00D22D84">
      <w:pPr>
        <w:pStyle w:val="2"/>
      </w:pPr>
      <w:bookmarkStart w:id="183" w:name="_Toc222380430"/>
      <w:bookmarkEnd w:id="130"/>
      <w:r w:rsidRPr="00BF5E04">
        <w:lastRenderedPageBreak/>
        <w:t>Российские корейцы, 18.02.2026, Пенсионеры хотят работать</w:t>
      </w:r>
      <w:bookmarkEnd w:id="183"/>
    </w:p>
    <w:p w14:paraId="51F9FAFD" w14:textId="48916498" w:rsidR="00D22D84" w:rsidRPr="00BF5E04" w:rsidRDefault="00D22D84" w:rsidP="001A12F0">
      <w:pPr>
        <w:pStyle w:val="3"/>
      </w:pPr>
      <w:bookmarkStart w:id="184" w:name="_Toc222380431"/>
      <w:r w:rsidRPr="00BF5E04">
        <w:t>Уровень занятости в Южной Корее среди людей в возрасте от 55 до 64 лет в 2025 году достиг рекордных 70,5 %, впервые с 1983 года превысив порог в 70 %. По данным министерства труда и занятости, этот показатель вырос с 69,9 % годом ранее, продолжив тенденцию к увеличению, наблюдавшуюся в течение десяти лет, по мере повышения пенсионного возраста. В Южной Корее к пожилым работникам относятся люди в возрасте от 55 до 64 лет. Пожилые люди по закону считаются старшими поколениями.</w:t>
      </w:r>
      <w:bookmarkEnd w:id="184"/>
      <w:r w:rsidRPr="00BF5E04">
        <w:t xml:space="preserve"> </w:t>
      </w:r>
    </w:p>
    <w:p w14:paraId="7E1E8E2E" w14:textId="77777777" w:rsidR="00D22D84" w:rsidRPr="00BF5E04" w:rsidRDefault="00D22D84" w:rsidP="00D22D84">
      <w:r w:rsidRPr="00BF5E04">
        <w:t>Данные также показали, что уровень экономической активности трудоспособного населения в возрасте в 2025 году составил 72 %, включая тех, кто ищет работу. Этот показатель также растет: в 2024 году он составлял 71,6 %. В Южной Корее трудоспособным считается возраст от 15 до 64 лет. По данным министерства, 18,4 % этой группы населения составляют люди в возрасте 55 лет и старше, то есть почти пятая часть трудоспособного населения страны относится к этой категории.</w:t>
      </w:r>
    </w:p>
    <w:p w14:paraId="7541657B" w14:textId="666BE52A" w:rsidR="00D22D84" w:rsidRPr="00BF5E04" w:rsidRDefault="00D22D84" w:rsidP="00D22D84">
      <w:r w:rsidRPr="00BF5E04">
        <w:t xml:space="preserve">Многие работники в Южной Корее устраиваются на работу после достижения установленного законом пенсионного возраста в 60 лет по </w:t>
      </w:r>
      <w:r w:rsidR="00401C97">
        <w:t>«</w:t>
      </w:r>
      <w:r w:rsidRPr="00BF5E04">
        <w:t>нестандартным</w:t>
      </w:r>
      <w:r w:rsidR="00401C97">
        <w:t>»</w:t>
      </w:r>
      <w:r w:rsidRPr="00BF5E04">
        <w:t xml:space="preserve"> контрактам, которые обеспечивают меньшую правовую защиту, чем обычные контракты на полный рабочий день. Поскольку ожидаемая продолжительность жизни в стране составляет 83,7 года по состоянию на 2024 год, продолжается обсуждение вопроса о повышении установленного законом пенсионного возраста до 65 лет. Еще одним фактором, влияющим на дискуссию, является ожидаемый дефицит рабочей силы по мере того, как </w:t>
      </w:r>
      <w:r w:rsidR="00401C97">
        <w:t>«</w:t>
      </w:r>
      <w:r w:rsidRPr="00BF5E04">
        <w:t>второе поколение</w:t>
      </w:r>
      <w:r w:rsidR="00401C97">
        <w:t>»</w:t>
      </w:r>
      <w:r w:rsidRPr="00BF5E04">
        <w:t xml:space="preserve"> бэби-бумеров приближается к пенсионному возрасту. Бэби-бум в Южной Корее произошел после Корейской войны 1950-1953 годов и во время быстрого экономического роста страны в 1960-х и 1970-х годах. Бэби-бумерам второго поколения, родившимся в период с 1964 по 1974 год, сейчас от 50 до 60 лет. Министерство заявило, что предстоящий выход на пенсию представителей второго поколения бэби-бумеров вызывают опасения по поводу нехватки населения трудоспособного возраста.</w:t>
      </w:r>
    </w:p>
    <w:p w14:paraId="682A7CE9" w14:textId="21903FF3" w:rsidR="00CA32BC" w:rsidRPr="00BF5E04" w:rsidRDefault="00D22D84" w:rsidP="00D22D84">
      <w:hyperlink r:id="rId57" w:history="1">
        <w:r w:rsidRPr="00BF5E04">
          <w:rPr>
            <w:rStyle w:val="a3"/>
          </w:rPr>
          <w:t>https://gazeta-rk.ru/2026/02/18/pensionery-hotyat-rabotat-2/</w:t>
        </w:r>
      </w:hyperlink>
    </w:p>
    <w:p w14:paraId="33A31060" w14:textId="77777777" w:rsidR="00D6099F" w:rsidRPr="00BF5E04" w:rsidRDefault="00D6099F" w:rsidP="00D6099F">
      <w:pPr>
        <w:pStyle w:val="2"/>
      </w:pPr>
      <w:bookmarkStart w:id="185" w:name="_Toc222380432"/>
      <w:r w:rsidRPr="00BF5E04">
        <w:t>ТАСС, 18.02.2026, Конституционный суд Румынии разрешил провести реформу пенсий судей и прокуроров</w:t>
      </w:r>
      <w:bookmarkEnd w:id="185"/>
    </w:p>
    <w:p w14:paraId="11B7F8A3" w14:textId="77777777" w:rsidR="00D6099F" w:rsidRPr="00BF5E04" w:rsidRDefault="00D6099F" w:rsidP="001A12F0">
      <w:pPr>
        <w:pStyle w:val="3"/>
      </w:pPr>
      <w:bookmarkStart w:id="186" w:name="_Toc222380433"/>
      <w:r w:rsidRPr="00BF5E04">
        <w:t>Конституционный суд (КС) Румынии признал конституционным законопроект о пенсиях судей и прокуроров, который выдвинуло правительство Илие Боложана, отклонив ходатайство Высокого апелляционного суда, который его оспорил. Об этом сообщило агентство Аджерпрес.</w:t>
      </w:r>
      <w:bookmarkEnd w:id="186"/>
    </w:p>
    <w:p w14:paraId="59CA3CCF" w14:textId="77777777" w:rsidR="00D6099F" w:rsidRPr="00BF5E04" w:rsidRDefault="00D6099F" w:rsidP="00D6099F">
      <w:r w:rsidRPr="00BF5E04">
        <w:t>После того, как КС пять раз откладывал вынесение решения по этому вопросу, теперь законопроект будет отправлен на утверждение президенту. В свою очередь, Высокий апелляционный суд уведомил КС о намерении обратиться с жалобой в Суд Евросоюза.</w:t>
      </w:r>
    </w:p>
    <w:p w14:paraId="3E8BC8DC" w14:textId="77777777" w:rsidR="00D6099F" w:rsidRPr="00BF5E04" w:rsidRDefault="00D6099F" w:rsidP="00D6099F">
      <w:r w:rsidRPr="00BF5E04">
        <w:t>В настоящее время правительство Боложана реализует программу жестких мер экономии с тем, чтобы сократить бюджетный дефицит, который является крупнейшим в Евросоюзе. Одной из таких мер является реформа пенсий судей и прокуроров. Многие в Румынии возмущены чрезмерно высокой оплатой их труда и чрезмерно ранним выходом на пенсию, что считают незаслуженной привилегией.</w:t>
      </w:r>
    </w:p>
    <w:p w14:paraId="13A57CD6" w14:textId="77777777" w:rsidR="00D6099F" w:rsidRPr="00BF5E04" w:rsidRDefault="00D6099F" w:rsidP="00D6099F">
      <w:r w:rsidRPr="00BF5E04">
        <w:lastRenderedPageBreak/>
        <w:t>В конце прошлого года правительство одобрило проект закона, согласно которому пенсионный возраст судей и прокуроров будет постепенно увеличен с 48-50 до 65 лет в течение 15 лет, а размер пенсий не будет превышать 70% последней чистой заработной платы. Боложан подчеркнул, что законопроект обеспечивает продолжение получения европейских фондов, исправление существующей несправедливости и устойчивость пенсионной системы.</w:t>
      </w:r>
    </w:p>
    <w:p w14:paraId="4EB2DA35" w14:textId="09242EDE" w:rsidR="00D6099F" w:rsidRPr="00BF5E04" w:rsidRDefault="00D6099F" w:rsidP="00D6099F">
      <w:r w:rsidRPr="00BF5E04">
        <w:t xml:space="preserve">Реформа пенсий судей и прокуроров является одним из условий выплаты Румынии европейских фондов по Национальному плану восстановления и устойчивости, который был согласован с Еврокомиссией в рамках программы </w:t>
      </w:r>
      <w:r w:rsidR="00401C97">
        <w:t>«</w:t>
      </w:r>
      <w:r w:rsidRPr="00BF5E04">
        <w:t>ЕC нового поколения</w:t>
      </w:r>
      <w:r w:rsidR="00401C97">
        <w:t>»</w:t>
      </w:r>
      <w:r w:rsidRPr="00BF5E04">
        <w:t xml:space="preserve"> (Next Generation EU). В случае невыполнения этого условия Румыния рискует потерять 231 млн евро.</w:t>
      </w:r>
    </w:p>
    <w:p w14:paraId="4E6121F1" w14:textId="3E6A137F" w:rsidR="00D22D84" w:rsidRPr="00BF5E04" w:rsidRDefault="00D6099F" w:rsidP="00D6099F">
      <w:r w:rsidRPr="00BF5E04">
        <w:t>Этот законопроект, однако, натолкнулся на яростное сопротивление судей и прокуроров, которые утверждают, что он снижает их мотивацию и подрывает независимость правосудия. Они оспорили его в Конституционном суде и теперь намерены обратиться в Суд Евросоюза. В румынских СМИ этот затянувшийся спор называют конфликтом между исполнительной и судебной ветвями власти в Румынии.</w:t>
      </w:r>
    </w:p>
    <w:p w14:paraId="300CAA07" w14:textId="77777777" w:rsidR="00D6099F" w:rsidRPr="00BF5E04" w:rsidRDefault="00D6099F" w:rsidP="00D6099F"/>
    <w:p w14:paraId="4DDD6BF5" w14:textId="77777777" w:rsidR="00CA32BC" w:rsidRPr="0090779C" w:rsidRDefault="00CA32BC" w:rsidP="00CA32BC"/>
    <w:sectPr w:rsidR="00CA32BC" w:rsidRPr="0090779C" w:rsidSect="00B01BEA">
      <w:headerReference w:type="default" r:id="rId58"/>
      <w:footerReference w:type="defaul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07C6" w14:textId="77777777" w:rsidR="00701867" w:rsidRDefault="00701867">
      <w:r>
        <w:separator/>
      </w:r>
    </w:p>
  </w:endnote>
  <w:endnote w:type="continuationSeparator" w:id="0">
    <w:p w14:paraId="695DB620" w14:textId="77777777" w:rsidR="00701867" w:rsidRDefault="0070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876E" w14:textId="77777777" w:rsidR="00701867" w:rsidRDefault="00701867">
      <w:r>
        <w:separator/>
      </w:r>
    </w:p>
  </w:footnote>
  <w:footnote w:type="continuationSeparator" w:id="0">
    <w:p w14:paraId="611FB2BC" w14:textId="77777777" w:rsidR="00701867" w:rsidRDefault="0070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3AC8"/>
    <w:multiLevelType w:val="singleLevel"/>
    <w:tmpl w:val="9EF6AF08"/>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B2167C"/>
    <w:multiLevelType w:val="singleLevel"/>
    <w:tmpl w:val="87C4E454"/>
    <w:lvl w:ilvl="0">
      <w:start w:val="1"/>
      <w:numFmt w:val="decimal"/>
      <w:lvlText w:val="%1."/>
      <w:lvlJc w:val="left"/>
      <w:pPr>
        <w:ind w:left="420" w:hanging="360"/>
      </w:p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7"/>
  </w:num>
  <w:num w:numId="2" w16cid:durableId="1756054902">
    <w:abstractNumId w:val="13"/>
  </w:num>
  <w:num w:numId="3" w16cid:durableId="171838583">
    <w:abstractNumId w:val="29"/>
  </w:num>
  <w:num w:numId="4" w16cid:durableId="797601617">
    <w:abstractNumId w:val="18"/>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6"/>
  </w:num>
  <w:num w:numId="8" w16cid:durableId="2002804124">
    <w:abstractNumId w:val="23"/>
  </w:num>
  <w:num w:numId="9" w16cid:durableId="9413065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0"/>
  </w:num>
  <w:num w:numId="24" w16cid:durableId="885264826">
    <w:abstractNumId w:val="28"/>
  </w:num>
  <w:num w:numId="25" w16cid:durableId="1288926232">
    <w:abstractNumId w:val="21"/>
  </w:num>
  <w:num w:numId="26" w16cid:durableId="1582641769">
    <w:abstractNumId w:val="14"/>
  </w:num>
  <w:num w:numId="27" w16cid:durableId="556474590">
    <w:abstractNumId w:val="12"/>
  </w:num>
  <w:num w:numId="28" w16cid:durableId="1479421487">
    <w:abstractNumId w:val="24"/>
  </w:num>
  <w:num w:numId="29" w16cid:durableId="1580485261">
    <w:abstractNumId w:val="25"/>
  </w:num>
  <w:num w:numId="30" w16cid:durableId="1259869721">
    <w:abstractNumId w:val="15"/>
  </w:num>
  <w:num w:numId="31" w16cid:durableId="1298609335">
    <w:abstractNumId w:val="10"/>
    <w:lvlOverride w:ilvl="0">
      <w:startOverride w:val="1"/>
    </w:lvlOverride>
  </w:num>
  <w:num w:numId="32" w16cid:durableId="1983920648">
    <w:abstractNumId w:val="10"/>
    <w:lvlOverride w:ilvl="0">
      <w:startOverride w:val="1"/>
    </w:lvlOverride>
  </w:num>
  <w:num w:numId="33" w16cid:durableId="1486312288">
    <w:abstractNumId w:val="22"/>
    <w:lvlOverride w:ilvl="0">
      <w:startOverride w:val="1"/>
    </w:lvlOverride>
  </w:num>
  <w:num w:numId="34" w16cid:durableId="802961347">
    <w:abstractNumId w:val="22"/>
    <w:lvlOverride w:ilvl="0">
      <w:startOverride w:val="1"/>
    </w:lvlOverride>
  </w:num>
  <w:num w:numId="35" w16cid:durableId="1011957101">
    <w:abstractNumId w:val="10"/>
    <w:lvlOverride w:ilvl="0">
      <w:startOverride w:val="1"/>
    </w:lvlOverride>
  </w:num>
  <w:num w:numId="36" w16cid:durableId="1726680125">
    <w:abstractNumId w:val="22"/>
    <w:lvlOverride w:ilvl="0">
      <w:startOverride w:val="1"/>
    </w:lvlOverride>
  </w:num>
  <w:num w:numId="37" w16cid:durableId="220291504">
    <w:abstractNumId w:val="10"/>
    <w:lvlOverride w:ilvl="0">
      <w:startOverride w:val="1"/>
    </w:lvlOverride>
  </w:num>
  <w:num w:numId="38" w16cid:durableId="217596029">
    <w:abstractNumId w:val="10"/>
    <w:lvlOverride w:ilvl="0">
      <w:startOverride w:val="1"/>
    </w:lvlOverride>
  </w:num>
  <w:num w:numId="39" w16cid:durableId="1744060632">
    <w:abstractNumId w:val="22"/>
    <w:lvlOverride w:ilvl="0">
      <w:startOverride w:val="1"/>
    </w:lvlOverride>
  </w:num>
  <w:num w:numId="40" w16cid:durableId="379129910">
    <w:abstractNumId w:val="10"/>
    <w:lvlOverride w:ilvl="0">
      <w:startOverride w:val="1"/>
    </w:lvlOverride>
  </w:num>
  <w:num w:numId="41" w16cid:durableId="1715616490">
    <w:abstractNumId w:val="10"/>
    <w:lvlOverride w:ilvl="0">
      <w:startOverride w:val="1"/>
    </w:lvlOverride>
  </w:num>
  <w:num w:numId="42" w16cid:durableId="1967929247">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49BB"/>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0D1"/>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151"/>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3E93"/>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2B5B"/>
    <w:rsid w:val="001736D6"/>
    <w:rsid w:val="00173FEE"/>
    <w:rsid w:val="001745DE"/>
    <w:rsid w:val="001751D2"/>
    <w:rsid w:val="00175EBD"/>
    <w:rsid w:val="001767AE"/>
    <w:rsid w:val="00176811"/>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2F0"/>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A31"/>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043"/>
    <w:rsid w:val="00222E3C"/>
    <w:rsid w:val="0022356A"/>
    <w:rsid w:val="002247DD"/>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09A"/>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B7C"/>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5BB"/>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73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949"/>
    <w:rsid w:val="00387BE4"/>
    <w:rsid w:val="00390048"/>
    <w:rsid w:val="00390AC6"/>
    <w:rsid w:val="003915F0"/>
    <w:rsid w:val="00391891"/>
    <w:rsid w:val="00391EBD"/>
    <w:rsid w:val="00392034"/>
    <w:rsid w:val="00392252"/>
    <w:rsid w:val="003926B1"/>
    <w:rsid w:val="00392CA3"/>
    <w:rsid w:val="00392DCD"/>
    <w:rsid w:val="0039326E"/>
    <w:rsid w:val="00393A75"/>
    <w:rsid w:val="00393BB4"/>
    <w:rsid w:val="00393FD8"/>
    <w:rsid w:val="0039416B"/>
    <w:rsid w:val="00394C6F"/>
    <w:rsid w:val="003958A6"/>
    <w:rsid w:val="00395C6A"/>
    <w:rsid w:val="00396768"/>
    <w:rsid w:val="0039687F"/>
    <w:rsid w:val="00396DEB"/>
    <w:rsid w:val="0039758D"/>
    <w:rsid w:val="00397A88"/>
    <w:rsid w:val="003A040F"/>
    <w:rsid w:val="003A0D24"/>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2D3F"/>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C97"/>
    <w:rsid w:val="00401E4D"/>
    <w:rsid w:val="00402D7C"/>
    <w:rsid w:val="00402DC9"/>
    <w:rsid w:val="004031EE"/>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165C"/>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0EB6"/>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883"/>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02C"/>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230A"/>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19D1"/>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4E4A"/>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095A"/>
    <w:rsid w:val="005B1A2F"/>
    <w:rsid w:val="005B20E1"/>
    <w:rsid w:val="005B2BBD"/>
    <w:rsid w:val="005B340D"/>
    <w:rsid w:val="005B34ED"/>
    <w:rsid w:val="005B3AC9"/>
    <w:rsid w:val="005B46A8"/>
    <w:rsid w:val="005B4A10"/>
    <w:rsid w:val="005B5547"/>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48"/>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867"/>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04"/>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58F"/>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0DE4"/>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09"/>
    <w:rsid w:val="007D602B"/>
    <w:rsid w:val="007D61E0"/>
    <w:rsid w:val="007D64D1"/>
    <w:rsid w:val="007D67CE"/>
    <w:rsid w:val="007D6FE5"/>
    <w:rsid w:val="007D78DB"/>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AD"/>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47E2B"/>
    <w:rsid w:val="00850A20"/>
    <w:rsid w:val="008510A2"/>
    <w:rsid w:val="00851F0C"/>
    <w:rsid w:val="00851F51"/>
    <w:rsid w:val="008523F5"/>
    <w:rsid w:val="00853072"/>
    <w:rsid w:val="008531CF"/>
    <w:rsid w:val="00853A5A"/>
    <w:rsid w:val="00853B12"/>
    <w:rsid w:val="00853D80"/>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5D2D"/>
    <w:rsid w:val="0089606B"/>
    <w:rsid w:val="00896C79"/>
    <w:rsid w:val="008975FF"/>
    <w:rsid w:val="008A26ED"/>
    <w:rsid w:val="008A4114"/>
    <w:rsid w:val="008A6B84"/>
    <w:rsid w:val="008A72AD"/>
    <w:rsid w:val="008B1F44"/>
    <w:rsid w:val="008B270C"/>
    <w:rsid w:val="008B3A35"/>
    <w:rsid w:val="008B4169"/>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312"/>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CA"/>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984"/>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0E"/>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6F7C"/>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30"/>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30AB"/>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4EA0"/>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189"/>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246"/>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68DA"/>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04"/>
    <w:rsid w:val="00BF5EEA"/>
    <w:rsid w:val="00BF66B4"/>
    <w:rsid w:val="00BF6AA5"/>
    <w:rsid w:val="00BF7144"/>
    <w:rsid w:val="00BF7530"/>
    <w:rsid w:val="00BF7A69"/>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2D6C"/>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0D7A"/>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1C3B"/>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2D84"/>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99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AFE"/>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8BE"/>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1685"/>
    <w:rsid w:val="00DE28A8"/>
    <w:rsid w:val="00DE352E"/>
    <w:rsid w:val="00DE38E0"/>
    <w:rsid w:val="00DE4DFA"/>
    <w:rsid w:val="00DE4E21"/>
    <w:rsid w:val="00DE4F02"/>
    <w:rsid w:val="00DE57F9"/>
    <w:rsid w:val="00DE5AA4"/>
    <w:rsid w:val="00DE5F0E"/>
    <w:rsid w:val="00DE62F1"/>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2A9"/>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654"/>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37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3ED"/>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46E"/>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172B5B"/>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AD4EA0"/>
    <w:rPr>
      <w:color w:val="605E5C"/>
      <w:shd w:val="clear" w:color="auto" w:fill="E1DFDD"/>
    </w:rPr>
  </w:style>
  <w:style w:type="character" w:customStyle="1" w:styleId="50">
    <w:name w:val="Заголовок 5 Знак"/>
    <w:basedOn w:val="a0"/>
    <w:link w:val="5"/>
    <w:semiHidden/>
    <w:rsid w:val="00172B5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panies.rbc.ru/news/rbfXzZOJwD/bolee-32-mlrd-rublej-vyiplatil-hantyi-mansijskij-npf-klientam-za-2025-god/" TargetMode="External"/><Relationship Id="rId18" Type="http://schemas.openxmlformats.org/officeDocument/2006/relationships/hyperlink" Target="https://news.ru/vlast/v-gosdume-obyasnili-kak-izmenyatsya-usloviya-snyatiya-sredstv-po-pds" TargetMode="External"/><Relationship Id="rId26" Type="http://schemas.openxmlformats.org/officeDocument/2006/relationships/hyperlink" Target="https://lug-info.ru/news/zhiteli-lnr-zakljuchili-pochti-155-tys.-dogovorov-pds-s-nachala-dejstvija-programmy/" TargetMode="External"/><Relationship Id="rId39" Type="http://schemas.openxmlformats.org/officeDocument/2006/relationships/hyperlink" Target="https://ug.tsargrad.tv/news/zjuganov-predlozhil-vernut-pensii-v-55-i-60-let_1561460" TargetMode="External"/><Relationship Id="rId21" Type="http://schemas.openxmlformats.org/officeDocument/2006/relationships/hyperlink" Target="http://pbroker.ru/?p=81634" TargetMode="External"/><Relationship Id="rId34" Type="http://schemas.openxmlformats.org/officeDocument/2006/relationships/hyperlink" Target="https://www.gazeta.ru/business/news/2026/02/18/27869209.shtml" TargetMode="External"/><Relationship Id="rId42" Type="http://schemas.openxmlformats.org/officeDocument/2006/relationships/hyperlink" Target="https://www.vedomosti.ru/investments/articles/2026/02/17/1177149-epoha-dominirovaniya-roznichnih?from=newsline_partner" TargetMode="External"/><Relationship Id="rId47" Type="http://schemas.openxmlformats.org/officeDocument/2006/relationships/hyperlink" Target="https://www.interfax.ru/business/1073483" TargetMode="External"/><Relationship Id="rId50" Type="http://schemas.openxmlformats.org/officeDocument/2006/relationships/hyperlink" Target="https://lsm.kz/porogi-po-pensionnym-izlishkam-nazvali-nedostatochnymi" TargetMode="External"/><Relationship Id="rId55" Type="http://schemas.openxmlformats.org/officeDocument/2006/relationships/hyperlink" Target="https://lv.sputniknews.ru/20260218/ekspert-pensionnaya-sistema-mozhet-rukhnut-32210130.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ass.ru/ekonomika/26492971" TargetMode="External"/><Relationship Id="rId20" Type="http://schemas.openxmlformats.org/officeDocument/2006/relationships/hyperlink" Target="http://pbroker.ru/?p=81629" TargetMode="External"/><Relationship Id="rId29" Type="http://schemas.openxmlformats.org/officeDocument/2006/relationships/hyperlink" Target="https://russian.rt.com/russia/news/1597242-deputat-pensiya-perehod-usloviya" TargetMode="External"/><Relationship Id="rId41" Type="http://schemas.openxmlformats.org/officeDocument/2006/relationships/hyperlink" Target="https://kubantoday.ru/jekonomist-oleg-nikolaev-prokommentiroval-zakonoproekt-o-vozvrashhenii-prezhnego-pensionnogo-vozrasta/" TargetMode="External"/><Relationship Id="rId54" Type="http://schemas.openxmlformats.org/officeDocument/2006/relationships/hyperlink" Target="https://www.gorod.lv/novosti/363966-na-manabalsslv-sobrany-podpisi-za-vozmozhnost-dobrovolno-izymat-sredstva-2-pensionnogo-urovny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km.ru/press/npf_blagosostoyanie_otmechaet_30_letie/" TargetMode="External"/><Relationship Id="rId24" Type="http://schemas.openxmlformats.org/officeDocument/2006/relationships/hyperlink" Target="https://www.herson.kp.ru/daily/27763/5210984/" TargetMode="External"/><Relationship Id="rId32" Type="http://schemas.openxmlformats.org/officeDocument/2006/relationships/hyperlink" Target="https://profile.ru/news/society/kak-za-god-vyrosla-srednyaya-pensiya-v-rossii-1824148/" TargetMode="External"/><Relationship Id="rId37" Type="http://schemas.openxmlformats.org/officeDocument/2006/relationships/hyperlink" Target="https://primpress.ru/article/131808" TargetMode="External"/><Relationship Id="rId40" Type="http://schemas.openxmlformats.org/officeDocument/2006/relationships/hyperlink" Target="https://www.yuga.ru/news/481104/" TargetMode="External"/><Relationship Id="rId45" Type="http://schemas.openxmlformats.org/officeDocument/2006/relationships/hyperlink" Target="https://tass.ru/ekonomika/26481131" TargetMode="External"/><Relationship Id="rId53" Type="http://schemas.openxmlformats.org/officeDocument/2006/relationships/hyperlink" Target="https://dialectic.club/2026/02/18/v-germanii-khotyat-povysit-pensionnyj-vozrast-do-70-let/"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finmarket.ru/news/6563761" TargetMode="External"/><Relationship Id="rId23" Type="http://schemas.openxmlformats.org/officeDocument/2006/relationships/hyperlink" Target="https://chgtrk.ru/novosti/finansy/kajdyy-8-jitel-chuvashii-uchastvuet-v-programme-dolgosrochnyh-sberejeniy/" TargetMode="External"/><Relationship Id="rId28" Type="http://schemas.openxmlformats.org/officeDocument/2006/relationships/hyperlink" Target="https://tass.ru/obschestvo/26480851" TargetMode="External"/><Relationship Id="rId36" Type="http://schemas.openxmlformats.org/officeDocument/2006/relationships/hyperlink" Target="https://argumenti.ru/society/2026/02/987192" TargetMode="External"/><Relationship Id="rId49" Type="http://schemas.openxmlformats.org/officeDocument/2006/relationships/hyperlink" Target="https://www.interfax.ru/russia/1073458" TargetMode="External"/><Relationship Id="rId57" Type="http://schemas.openxmlformats.org/officeDocument/2006/relationships/hyperlink" Target="https://gazeta-rk.ru/2026/02/18/pensionery-hotyat-rabotat-2/" TargetMode="External"/><Relationship Id="rId61" Type="http://schemas.openxmlformats.org/officeDocument/2006/relationships/theme" Target="theme/theme1.xml"/><Relationship Id="rId10" Type="http://schemas.openxmlformats.org/officeDocument/2006/relationships/hyperlink" Target="https://www.vedomosti.ru/press_releases/2026/02/17/ot-mala-do-velika-rossiyane-rasskazali-do-kakogo-vozrasta-nuzhno-soderzhat-vzroslih-detei" TargetMode="External"/><Relationship Id="rId19" Type="http://schemas.openxmlformats.org/officeDocument/2006/relationships/hyperlink" Target="https://russian.rt.com/business/article/1596908-pds-dengi-izmeneniya" TargetMode="External"/><Relationship Id="rId31" Type="http://schemas.openxmlformats.org/officeDocument/2006/relationships/hyperlink" Target="https://tass.ru/obschestvo/26485963" TargetMode="External"/><Relationship Id="rId44" Type="http://schemas.openxmlformats.org/officeDocument/2006/relationships/hyperlink" Target="https://monocle.ru/2026/02/18/prognoz-monoklya-po-rostu-chisla-ipo-stanovitsya-vse-boleye-veroyatnym/" TargetMode="External"/><Relationship Id="rId52" Type="http://schemas.openxmlformats.org/officeDocument/2006/relationships/hyperlink" Target="https://kz.kursiv.media/2026-02-18/zhnb-s-kakimi-slozhnostyami-mogut-stolknutsya-kazahstanczy-vyvodyashhie-dengi-iz-enp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ss.ru/obschestvo/26478967" TargetMode="External"/><Relationship Id="rId14" Type="http://schemas.openxmlformats.org/officeDocument/2006/relationships/hyperlink" Target="https://kotovse.ru/964311-zhiteli-tyumeni-poluchili-ot-npf-budushhee-vyplat-na-m8m/" TargetMode="External"/><Relationship Id="rId22" Type="http://schemas.openxmlformats.org/officeDocument/2006/relationships/hyperlink" Target="https://konkurent.ru/article/84742" TargetMode="External"/><Relationship Id="rId27" Type="http://schemas.openxmlformats.org/officeDocument/2006/relationships/hyperlink" Target="https://vtomske.ru/article/213698-finansovaya-podushka-dlya-tomichei-kak-podgotovitsya-k-pensii-uje-segodnya" TargetMode="External"/><Relationship Id="rId30" Type="http://schemas.openxmlformats.org/officeDocument/2006/relationships/hyperlink" Target="https://ria.ru/20260218/rossiya-2075256996.html" TargetMode="External"/><Relationship Id="rId35" Type="http://schemas.openxmlformats.org/officeDocument/2006/relationships/hyperlink" Target="https://www.ecosever.ru/article/75137.html" TargetMode="External"/><Relationship Id="rId43" Type="http://schemas.openxmlformats.org/officeDocument/2006/relationships/hyperlink" Target="https://raexpert.ru/researches/ua/new_ipo_boom_2026/" TargetMode="External"/><Relationship Id="rId48" Type="http://schemas.openxmlformats.org/officeDocument/2006/relationships/hyperlink" Target="https://tass.ru/ekonomika/26488923" TargetMode="External"/><Relationship Id="rId56" Type="http://schemas.openxmlformats.org/officeDocument/2006/relationships/hyperlink" Target="https://lt.sputniknews.ru/20260218/v-litve-za-mesyats-iz-pensionnykh-fondov-reshila-vyyti-pyataya-chast-uchastnikov-40644279.html" TargetMode="External"/><Relationship Id="rId8" Type="http://schemas.openxmlformats.org/officeDocument/2006/relationships/hyperlink" Target="https://tass.ru/ekonomika/26480493" TargetMode="External"/><Relationship Id="rId51" Type="http://schemas.openxmlformats.org/officeDocument/2006/relationships/hyperlink" Target="https://kz.kursiv.media/2026-02-18/fvfv-eksperty-prognoziruyut-poetapnyy-rost-porogov-pensionnyh-izyatiy-na-10-20/" TargetMode="External"/><Relationship Id="rId3" Type="http://schemas.openxmlformats.org/officeDocument/2006/relationships/settings" Target="settings.xml"/><Relationship Id="rId12" Type="http://schemas.openxmlformats.org/officeDocument/2006/relationships/hyperlink" Target="http://pbroker.ru/?p=81644" TargetMode="External"/><Relationship Id="rId17" Type="http://schemas.openxmlformats.org/officeDocument/2006/relationships/hyperlink" Target="https://tass.ru/ekonomika/26483655" TargetMode="External"/><Relationship Id="rId25" Type="http://schemas.openxmlformats.org/officeDocument/2006/relationships/hyperlink" Target="https://tass.ru/ekonomika/26488161" TargetMode="External"/><Relationship Id="rId33" Type="http://schemas.openxmlformats.org/officeDocument/2006/relationships/hyperlink" Target="https://busiprof.ru/srednyaya-pensiya-nerabotayushhikh-rossiyan-vyrosla-n-e88fy/" TargetMode="External"/><Relationship Id="rId38" Type="http://schemas.openxmlformats.org/officeDocument/2006/relationships/hyperlink" Target="https://primpress.ru/article/131807" TargetMode="External"/><Relationship Id="rId46" Type="http://schemas.openxmlformats.org/officeDocument/2006/relationships/hyperlink" Target="https://www.interfax.ru/russia/1073474"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86</Pages>
  <Words>29996</Words>
  <Characters>194679</Characters>
  <Application>Microsoft Office Word</Application>
  <DocSecurity>0</DocSecurity>
  <Lines>3743</Lines>
  <Paragraphs>1413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223262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27</cp:revision>
  <cp:lastPrinted>2009-04-02T10:14:00Z</cp:lastPrinted>
  <dcterms:created xsi:type="dcterms:W3CDTF">2026-02-11T07:27:00Z</dcterms:created>
  <dcterms:modified xsi:type="dcterms:W3CDTF">2026-02-19T04:58:00Z</dcterms:modified>
  <cp:category>НАПФ</cp:category>
  <cp:contentStatus>И-Консалтинг</cp:contentStatus>
</cp:coreProperties>
</file>